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546A" w14:textId="42D62820" w:rsidR="00530472" w:rsidRDefault="00530472" w:rsidP="00530472">
      <w:r>
        <w:rPr>
          <w:noProof/>
        </w:rPr>
        <mc:AlternateContent>
          <mc:Choice Requires="wps">
            <w:drawing>
              <wp:anchor distT="0" distB="0" distL="114300" distR="114300" simplePos="0" relativeHeight="251658240" behindDoc="0" locked="0" layoutInCell="1" allowOverlap="1" wp14:anchorId="14EFC4CC" wp14:editId="75C3BCA3">
                <wp:simplePos x="0" y="0"/>
                <wp:positionH relativeFrom="margin">
                  <wp:align>right</wp:align>
                </wp:positionH>
                <wp:positionV relativeFrom="margin">
                  <wp:align>top</wp:align>
                </wp:positionV>
                <wp:extent cx="5734685" cy="2419350"/>
                <wp:effectExtent l="0" t="0" r="18415" b="19050"/>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2419350"/>
                        </a:xfrm>
                        <a:prstGeom prst="rect">
                          <a:avLst/>
                        </a:prstGeom>
                        <a:solidFill>
                          <a:srgbClr val="FFFFFF"/>
                        </a:solidFill>
                        <a:ln w="9525">
                          <a:solidFill>
                            <a:srgbClr val="000000"/>
                          </a:solidFill>
                          <a:miter lim="800000"/>
                          <a:headEnd/>
                          <a:tailEnd/>
                        </a:ln>
                      </wps:spPr>
                      <wps:txbx>
                        <w:txbxContent>
                          <w:p w14:paraId="1F7CAEC2" w14:textId="77777777" w:rsidR="00610A74" w:rsidRPr="00F530E3" w:rsidRDefault="00610A74" w:rsidP="00530472">
                            <w:pPr>
                              <w:tabs>
                                <w:tab w:val="left" w:pos="480"/>
                                <w:tab w:val="left" w:pos="600"/>
                                <w:tab w:val="left" w:pos="960"/>
                                <w:tab w:val="left" w:pos="2040"/>
                                <w:tab w:val="left" w:pos="4320"/>
                                <w:tab w:val="left" w:pos="6480"/>
                              </w:tabs>
                              <w:suppressAutoHyphens/>
                              <w:jc w:val="both"/>
                              <w:rPr>
                                <w:rFonts w:cs="Helvetica"/>
                                <w:b/>
                                <w:bCs/>
                                <w:sz w:val="16"/>
                                <w:szCs w:val="16"/>
                                <w:u w:val="single"/>
                              </w:rPr>
                            </w:pPr>
                            <w:r>
                              <w:rPr>
                                <w:b/>
                                <w:bCs/>
                                <w:sz w:val="16"/>
                                <w:szCs w:val="16"/>
                                <w:u w:val="single"/>
                              </w:rPr>
                              <w:t xml:space="preserve">Instructions: </w:t>
                            </w:r>
                          </w:p>
                          <w:p w14:paraId="0D4904B9" w14:textId="77777777" w:rsidR="00610A74" w:rsidRPr="00F530E3" w:rsidRDefault="00610A74" w:rsidP="00530472">
                            <w:pPr>
                              <w:tabs>
                                <w:tab w:val="left" w:pos="480"/>
                                <w:tab w:val="left" w:pos="600"/>
                                <w:tab w:val="left" w:pos="960"/>
                                <w:tab w:val="left" w:pos="2040"/>
                                <w:tab w:val="left" w:pos="4320"/>
                                <w:tab w:val="left" w:pos="6480"/>
                              </w:tabs>
                              <w:suppressAutoHyphens/>
                              <w:jc w:val="both"/>
                              <w:rPr>
                                <w:rFonts w:cs="Helvetica"/>
                                <w:b/>
                                <w:bCs/>
                                <w:sz w:val="16"/>
                                <w:szCs w:val="16"/>
                                <w:u w:val="single"/>
                                <w:lang w:val="nl"/>
                              </w:rPr>
                            </w:pPr>
                          </w:p>
                          <w:p w14:paraId="4546E22E" w14:textId="77777777" w:rsidR="00610A74" w:rsidRDefault="00610A74" w:rsidP="00530472">
                            <w:pPr>
                              <w:tabs>
                                <w:tab w:val="left" w:pos="960"/>
                                <w:tab w:val="left" w:pos="2040"/>
                                <w:tab w:val="left" w:pos="4320"/>
                                <w:tab w:val="left" w:pos="6480"/>
                              </w:tabs>
                              <w:suppressAutoHyphens/>
                              <w:ind w:left="284" w:hanging="284"/>
                              <w:rPr>
                                <w:rFonts w:cs="Arial"/>
                                <w:b/>
                                <w:sz w:val="16"/>
                                <w:szCs w:val="16"/>
                              </w:rPr>
                            </w:pPr>
                            <w:r>
                              <w:rPr>
                                <w:b/>
                                <w:bCs/>
                                <w:sz w:val="16"/>
                                <w:szCs w:val="16"/>
                              </w:rPr>
                              <w:t xml:space="preserve">- Text/clauses preceded by </w:t>
                            </w:r>
                            <w:r w:rsidRPr="0006207C">
                              <w:rPr>
                                <w:b/>
                                <w:bCs/>
                                <w:sz w:val="16"/>
                                <w:szCs w:val="16"/>
                                <w:u w:val="single"/>
                              </w:rPr>
                              <w:t>‘&lt;OPTIONAL&gt;</w:t>
                            </w:r>
                            <w:r>
                              <w:rPr>
                                <w:b/>
                                <w:bCs/>
                                <w:sz w:val="16"/>
                                <w:szCs w:val="16"/>
                              </w:rPr>
                              <w:t>’ are optional.</w:t>
                            </w:r>
                          </w:p>
                          <w:p w14:paraId="4B5FE8A9" w14:textId="3DA08A6A" w:rsidR="00610A74" w:rsidRDefault="00610A74" w:rsidP="00530472">
                            <w:pPr>
                              <w:tabs>
                                <w:tab w:val="left" w:pos="960"/>
                                <w:tab w:val="left" w:pos="2040"/>
                                <w:tab w:val="left" w:pos="4320"/>
                                <w:tab w:val="left" w:pos="6480"/>
                              </w:tabs>
                              <w:suppressAutoHyphens/>
                              <w:ind w:left="284" w:hanging="284"/>
                              <w:rPr>
                                <w:rFonts w:cs="Arial"/>
                                <w:b/>
                                <w:sz w:val="16"/>
                                <w:szCs w:val="16"/>
                              </w:rPr>
                            </w:pPr>
                            <w:r>
                              <w:rPr>
                                <w:b/>
                                <w:sz w:val="16"/>
                                <w:szCs w:val="16"/>
                              </w:rPr>
                              <w:t xml:space="preserve">- </w:t>
                            </w:r>
                            <w:r>
                              <w:rPr>
                                <w:b/>
                                <w:sz w:val="16"/>
                                <w:szCs w:val="16"/>
                                <w:u w:val="single"/>
                              </w:rPr>
                              <w:t>E-invoicing</w:t>
                            </w:r>
                            <w:r>
                              <w:rPr>
                                <w:b/>
                                <w:sz w:val="16"/>
                                <w:szCs w:val="16"/>
                              </w:rPr>
                              <w:t>: article 14.2 of the ARBIT requires the Counterparty to submit invoices electronically, in line with government policy. If this is impossible, after consulting the relevant ministry official you can delete the version of article 7.3 in this Contract that requires electronic invoices, and include instead the second (optional) version, which allows paper invoices.</w:t>
                            </w:r>
                          </w:p>
                          <w:p w14:paraId="396D6F17" w14:textId="397A3508" w:rsidR="00610A74" w:rsidRPr="00F530E3" w:rsidRDefault="00610A74" w:rsidP="00530472">
                            <w:pPr>
                              <w:tabs>
                                <w:tab w:val="left" w:pos="960"/>
                                <w:tab w:val="left" w:pos="2040"/>
                                <w:tab w:val="left" w:pos="4320"/>
                                <w:tab w:val="left" w:pos="6480"/>
                              </w:tabs>
                              <w:suppressAutoHyphens/>
                              <w:ind w:left="284" w:hanging="284"/>
                              <w:rPr>
                                <w:rFonts w:cs="Arial"/>
                                <w:b/>
                                <w:sz w:val="16"/>
                                <w:szCs w:val="16"/>
                              </w:rPr>
                            </w:pPr>
                            <w:r>
                              <w:rPr>
                                <w:b/>
                                <w:sz w:val="16"/>
                                <w:szCs w:val="16"/>
                              </w:rPr>
                              <w:t>-</w:t>
                            </w:r>
                            <w:r>
                              <w:rPr>
                                <w:b/>
                                <w:sz w:val="16"/>
                                <w:szCs w:val="16"/>
                              </w:rPr>
                              <w:tab/>
                              <w:t>If the Counterparty processes Personal Data for the Contracting Authority, a Data Processing Agreement must also be concluded (see Model Data Processing Agreement (ARBIT)). The Data Processing Agreement is listed at the end of this document under the schedules. If no Data Processing Agreement has been concluded, remove it from the schedules list.</w:t>
                            </w:r>
                          </w:p>
                          <w:p w14:paraId="364B9B13" w14:textId="5DFF135A" w:rsidR="00610A74" w:rsidRDefault="00610A74" w:rsidP="00530472">
                            <w:pPr>
                              <w:tabs>
                                <w:tab w:val="left" w:pos="960"/>
                                <w:tab w:val="left" w:pos="2040"/>
                                <w:tab w:val="left" w:pos="4320"/>
                                <w:tab w:val="left" w:pos="6480"/>
                              </w:tabs>
                              <w:suppressAutoHyphens/>
                              <w:ind w:left="284" w:hanging="284"/>
                              <w:rPr>
                                <w:rFonts w:cs="Arial"/>
                                <w:b/>
                                <w:sz w:val="16"/>
                                <w:szCs w:val="16"/>
                              </w:rPr>
                            </w:pPr>
                            <w:r>
                              <w:rPr>
                                <w:b/>
                                <w:sz w:val="16"/>
                                <w:szCs w:val="16"/>
                              </w:rPr>
                              <w:t>-</w:t>
                            </w:r>
                            <w:r>
                              <w:rPr>
                                <w:b/>
                                <w:sz w:val="16"/>
                                <w:szCs w:val="16"/>
                              </w:rPr>
                              <w:tab/>
                              <w:t xml:space="preserve">If the processing is carried out by an auditor, the Data Processing Agreement must in certain cases be replaced by a schedule entitled ‘Provisions concerning data processing by auditors as part of assurance engagements’. </w:t>
                            </w:r>
                            <w:r w:rsidRPr="00103F23">
                              <w:rPr>
                                <w:b/>
                                <w:sz w:val="16"/>
                                <w:szCs w:val="16"/>
                              </w:rPr>
                              <w:t xml:space="preserve">See the instructions and the relevant explanatory notes. </w:t>
                            </w:r>
                          </w:p>
                          <w:p w14:paraId="0D88F9F4" w14:textId="77777777" w:rsidR="00610A74" w:rsidRPr="00F530E3" w:rsidRDefault="00610A74" w:rsidP="00530472">
                            <w:pPr>
                              <w:rPr>
                                <w:rFonts w:cs="Arial"/>
                                <w:b/>
                                <w:sz w:val="16"/>
                                <w:szCs w:val="16"/>
                                <w:lang w:val="nl"/>
                              </w:rPr>
                            </w:pPr>
                          </w:p>
                          <w:p w14:paraId="5AE9B525" w14:textId="77777777" w:rsidR="00610A74" w:rsidRPr="00F530E3" w:rsidRDefault="00610A74" w:rsidP="00530472">
                            <w:pPr>
                              <w:tabs>
                                <w:tab w:val="left" w:pos="480"/>
                                <w:tab w:val="left" w:pos="600"/>
                                <w:tab w:val="left" w:pos="960"/>
                                <w:tab w:val="left" w:pos="2040"/>
                                <w:tab w:val="left" w:pos="4320"/>
                                <w:tab w:val="left" w:pos="6480"/>
                              </w:tabs>
                              <w:suppressAutoHyphens/>
                              <w:rPr>
                                <w:rFonts w:cs="Helvetica"/>
                                <w:b/>
                                <w:bCs/>
                                <w:sz w:val="16"/>
                                <w:szCs w:val="16"/>
                                <w:u w:val="single"/>
                              </w:rPr>
                            </w:pPr>
                            <w:r>
                              <w:rPr>
                                <w:b/>
                                <w:sz w:val="16"/>
                                <w:szCs w:val="16"/>
                              </w:rPr>
                              <w:t>NB: Delete these instructions before using the Contract.</w:t>
                            </w:r>
                          </w:p>
                          <w:p w14:paraId="52D72C6C" w14:textId="77777777" w:rsidR="00610A74" w:rsidRPr="008243B7" w:rsidRDefault="00610A74" w:rsidP="00530472">
                            <w:pPr>
                              <w:rPr>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EFC4CC" id="_x0000_t202" coordsize="21600,21600" o:spt="202" path="m,l,21600r21600,l21600,xe">
                <v:stroke joinstyle="miter"/>
                <v:path gradientshapeok="t" o:connecttype="rect"/>
              </v:shapetype>
              <v:shape id="Tekstvak 1" o:spid="_x0000_s1026" type="#_x0000_t202" style="position:absolute;left:0;text-align:left;margin-left:400.35pt;margin-top:0;width:451.55pt;height:190.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EaGQIAACwEAAAOAAAAZHJzL2Uyb0RvYy54bWysU9tu2zAMfR+wfxD0vjhJkzYx4hRdugwD&#10;ugvQ7QNkWY6FyaJGKbGzrx8lp2nQbS/D9CCIInVEHh6ubvvWsINCr8EWfDIac6ashErbXcG/fd2+&#10;WXD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">
                <v:textbox>
                  <w:txbxContent>
                    <w:p w14:paraId="1F7CAEC2" w14:textId="77777777" w:rsidR="00610A74" w:rsidRPr="00F530E3" w:rsidRDefault="00610A74" w:rsidP="00530472">
                      <w:pPr>
                        <w:tabs>
                          <w:tab w:val="left" w:pos="480"/>
                          <w:tab w:val="left" w:pos="600"/>
                          <w:tab w:val="left" w:pos="960"/>
                          <w:tab w:val="left" w:pos="2040"/>
                          <w:tab w:val="left" w:pos="4320"/>
                          <w:tab w:val="left" w:pos="6480"/>
                        </w:tabs>
                        <w:suppressAutoHyphens/>
                        <w:jc w:val="both"/>
                        <w:rPr>
                          <w:rFonts w:cs="Helvetica"/>
                          <w:b/>
                          <w:bCs/>
                          <w:sz w:val="16"/>
                          <w:szCs w:val="16"/>
                          <w:u w:val="single"/>
                        </w:rPr>
                      </w:pPr>
                      <w:r>
                        <w:rPr>
                          <w:b/>
                          <w:bCs/>
                          <w:sz w:val="16"/>
                          <w:szCs w:val="16"/>
                          <w:u w:val="single"/>
                        </w:rPr>
                        <w:t xml:space="preserve">Instructions: </w:t>
                      </w:r>
                    </w:p>
                    <w:p w14:paraId="0D4904B9" w14:textId="77777777" w:rsidR="00610A74" w:rsidRPr="00F530E3" w:rsidRDefault="00610A74" w:rsidP="00530472">
                      <w:pPr>
                        <w:tabs>
                          <w:tab w:val="left" w:pos="480"/>
                          <w:tab w:val="left" w:pos="600"/>
                          <w:tab w:val="left" w:pos="960"/>
                          <w:tab w:val="left" w:pos="2040"/>
                          <w:tab w:val="left" w:pos="4320"/>
                          <w:tab w:val="left" w:pos="6480"/>
                        </w:tabs>
                        <w:suppressAutoHyphens/>
                        <w:jc w:val="both"/>
                        <w:rPr>
                          <w:rFonts w:cs="Helvetica"/>
                          <w:b/>
                          <w:bCs/>
                          <w:sz w:val="16"/>
                          <w:szCs w:val="16"/>
                          <w:u w:val="single"/>
                          <w:lang w:val="nl"/>
                        </w:rPr>
                      </w:pPr>
                    </w:p>
                    <w:p w14:paraId="4546E22E" w14:textId="77777777" w:rsidR="00610A74" w:rsidRDefault="00610A74" w:rsidP="00530472">
                      <w:pPr>
                        <w:tabs>
                          <w:tab w:val="left" w:pos="960"/>
                          <w:tab w:val="left" w:pos="2040"/>
                          <w:tab w:val="left" w:pos="4320"/>
                          <w:tab w:val="left" w:pos="6480"/>
                        </w:tabs>
                        <w:suppressAutoHyphens/>
                        <w:ind w:left="284" w:hanging="284"/>
                        <w:rPr>
                          <w:rFonts w:cs="Arial"/>
                          <w:b/>
                          <w:sz w:val="16"/>
                          <w:szCs w:val="16"/>
                        </w:rPr>
                      </w:pPr>
                      <w:r>
                        <w:rPr>
                          <w:b/>
                          <w:bCs/>
                          <w:sz w:val="16"/>
                          <w:szCs w:val="16"/>
                        </w:rPr>
                        <w:t xml:space="preserve">- Text/clauses preceded by </w:t>
                      </w:r>
                      <w:r w:rsidRPr="0006207C">
                        <w:rPr>
                          <w:b/>
                          <w:bCs/>
                          <w:sz w:val="16"/>
                          <w:szCs w:val="16"/>
                          <w:u w:val="single"/>
                        </w:rPr>
                        <w:t>‘&lt;OPTIONAL&gt;</w:t>
                      </w:r>
                      <w:r>
                        <w:rPr>
                          <w:b/>
                          <w:bCs/>
                          <w:sz w:val="16"/>
                          <w:szCs w:val="16"/>
                        </w:rPr>
                        <w:t>’ are optional.</w:t>
                      </w:r>
                    </w:p>
                    <w:p w14:paraId="4B5FE8A9" w14:textId="3DA08A6A" w:rsidR="00610A74" w:rsidRDefault="00610A74" w:rsidP="00530472">
                      <w:pPr>
                        <w:tabs>
                          <w:tab w:val="left" w:pos="960"/>
                          <w:tab w:val="left" w:pos="2040"/>
                          <w:tab w:val="left" w:pos="4320"/>
                          <w:tab w:val="left" w:pos="6480"/>
                        </w:tabs>
                        <w:suppressAutoHyphens/>
                        <w:ind w:left="284" w:hanging="284"/>
                        <w:rPr>
                          <w:rFonts w:cs="Arial"/>
                          <w:b/>
                          <w:sz w:val="16"/>
                          <w:szCs w:val="16"/>
                        </w:rPr>
                      </w:pPr>
                      <w:r>
                        <w:rPr>
                          <w:b/>
                          <w:sz w:val="16"/>
                          <w:szCs w:val="16"/>
                        </w:rPr>
                        <w:t xml:space="preserve">- </w:t>
                      </w:r>
                      <w:r>
                        <w:rPr>
                          <w:b/>
                          <w:sz w:val="16"/>
                          <w:szCs w:val="16"/>
                          <w:u w:val="single"/>
                        </w:rPr>
                        <w:t>E-invoicing</w:t>
                      </w:r>
                      <w:r>
                        <w:rPr>
                          <w:b/>
                          <w:sz w:val="16"/>
                          <w:szCs w:val="16"/>
                        </w:rPr>
                        <w:t>: article 14.2 of the ARBIT requires the Counterparty to submit invoices electronically, in line with government policy. If this is impossible, after consulting the relevant ministry official you can delete the version of article 7.3 in this Contract that requires electronic invoices, and include instead the second (optional) version, which allows paper invoices.</w:t>
                      </w:r>
                    </w:p>
                    <w:p w14:paraId="396D6F17" w14:textId="397A3508" w:rsidR="00610A74" w:rsidRPr="00F530E3" w:rsidRDefault="00610A74" w:rsidP="00530472">
                      <w:pPr>
                        <w:tabs>
                          <w:tab w:val="left" w:pos="960"/>
                          <w:tab w:val="left" w:pos="2040"/>
                          <w:tab w:val="left" w:pos="4320"/>
                          <w:tab w:val="left" w:pos="6480"/>
                        </w:tabs>
                        <w:suppressAutoHyphens/>
                        <w:ind w:left="284" w:hanging="284"/>
                        <w:rPr>
                          <w:rFonts w:cs="Arial"/>
                          <w:b/>
                          <w:sz w:val="16"/>
                          <w:szCs w:val="16"/>
                        </w:rPr>
                      </w:pPr>
                      <w:r>
                        <w:rPr>
                          <w:b/>
                          <w:sz w:val="16"/>
                          <w:szCs w:val="16"/>
                        </w:rPr>
                        <w:t>-</w:t>
                      </w:r>
                      <w:r>
                        <w:rPr>
                          <w:b/>
                          <w:sz w:val="16"/>
                          <w:szCs w:val="16"/>
                        </w:rPr>
                        <w:tab/>
                        <w:t>If the Counterparty processes Personal Data for the Contracting Authority, a Data Processing Agreement must also be concluded (see Model Data Processing Agreement (ARBIT)). The Data Processing Agreement is listed at the end of this document under the schedules. If no Data Processing Agreement has been concluded, remove it from the schedules list.</w:t>
                      </w:r>
                    </w:p>
                    <w:p w14:paraId="364B9B13" w14:textId="5DFF135A" w:rsidR="00610A74" w:rsidRDefault="00610A74" w:rsidP="00530472">
                      <w:pPr>
                        <w:tabs>
                          <w:tab w:val="left" w:pos="960"/>
                          <w:tab w:val="left" w:pos="2040"/>
                          <w:tab w:val="left" w:pos="4320"/>
                          <w:tab w:val="left" w:pos="6480"/>
                        </w:tabs>
                        <w:suppressAutoHyphens/>
                        <w:ind w:left="284" w:hanging="284"/>
                        <w:rPr>
                          <w:rFonts w:cs="Arial"/>
                          <w:b/>
                          <w:sz w:val="16"/>
                          <w:szCs w:val="16"/>
                        </w:rPr>
                      </w:pPr>
                      <w:r>
                        <w:rPr>
                          <w:b/>
                          <w:sz w:val="16"/>
                          <w:szCs w:val="16"/>
                        </w:rPr>
                        <w:t>-</w:t>
                      </w:r>
                      <w:r>
                        <w:rPr>
                          <w:b/>
                          <w:sz w:val="16"/>
                          <w:szCs w:val="16"/>
                        </w:rPr>
                        <w:tab/>
                        <w:t xml:space="preserve">If the processing is carried out by an auditor, the Data Processing Agreement must in certain cases be replaced by a schedule entitled ‘Provisions concerning data processing by auditors as part of assurance engagements’. </w:t>
                      </w:r>
                      <w:r w:rsidRPr="00103F23">
                        <w:rPr>
                          <w:b/>
                          <w:sz w:val="16"/>
                          <w:szCs w:val="16"/>
                        </w:rPr>
                        <w:t xml:space="preserve">See the instructions and the relevant explanatory notes. </w:t>
                      </w:r>
                    </w:p>
                    <w:p w14:paraId="0D88F9F4" w14:textId="77777777" w:rsidR="00610A74" w:rsidRPr="00F530E3" w:rsidRDefault="00610A74" w:rsidP="00530472">
                      <w:pPr>
                        <w:rPr>
                          <w:rFonts w:cs="Arial"/>
                          <w:b/>
                          <w:sz w:val="16"/>
                          <w:szCs w:val="16"/>
                          <w:lang w:val="nl"/>
                        </w:rPr>
                      </w:pPr>
                    </w:p>
                    <w:p w14:paraId="5AE9B525" w14:textId="77777777" w:rsidR="00610A74" w:rsidRPr="00F530E3" w:rsidRDefault="00610A74" w:rsidP="00530472">
                      <w:pPr>
                        <w:tabs>
                          <w:tab w:val="left" w:pos="480"/>
                          <w:tab w:val="left" w:pos="600"/>
                          <w:tab w:val="left" w:pos="960"/>
                          <w:tab w:val="left" w:pos="2040"/>
                          <w:tab w:val="left" w:pos="4320"/>
                          <w:tab w:val="left" w:pos="6480"/>
                        </w:tabs>
                        <w:suppressAutoHyphens/>
                        <w:rPr>
                          <w:rFonts w:cs="Helvetica"/>
                          <w:b/>
                          <w:bCs/>
                          <w:sz w:val="16"/>
                          <w:szCs w:val="16"/>
                          <w:u w:val="single"/>
                        </w:rPr>
                      </w:pPr>
                      <w:r>
                        <w:rPr>
                          <w:b/>
                          <w:sz w:val="16"/>
                          <w:szCs w:val="16"/>
                        </w:rPr>
                        <w:t>NB: Delete these instructions before using the Contract.</w:t>
                      </w:r>
                    </w:p>
                    <w:p w14:paraId="52D72C6C" w14:textId="77777777" w:rsidR="00610A74" w:rsidRPr="008243B7" w:rsidRDefault="00610A74" w:rsidP="00530472">
                      <w:pPr>
                        <w:rPr>
                          <w:lang w:val="nl"/>
                        </w:rPr>
                      </w:pPr>
                    </w:p>
                  </w:txbxContent>
                </v:textbox>
                <w10:wrap type="topAndBottom" anchorx="margin" anchory="margin"/>
              </v:shape>
            </w:pict>
          </mc:Fallback>
        </mc:AlternateContent>
      </w:r>
      <w:r>
        <w:t>(date: September 2022)</w:t>
      </w:r>
    </w:p>
    <w:p w14:paraId="4F1C3D33" w14:textId="77777777" w:rsidR="00530472" w:rsidRDefault="00530472" w:rsidP="00530472"/>
    <w:p w14:paraId="765E6858" w14:textId="3135BA2D" w:rsidR="00A429E2" w:rsidRPr="00530472" w:rsidRDefault="00A429E2" w:rsidP="00E16EBF">
      <w:pPr>
        <w:ind w:left="0" w:firstLine="0"/>
        <w:rPr>
          <w:b/>
          <w:bCs/>
          <w:sz w:val="20"/>
          <w:szCs w:val="20"/>
        </w:rPr>
      </w:pPr>
    </w:p>
    <w:p w14:paraId="1ED5DCD3" w14:textId="77777777" w:rsidR="00A429E2" w:rsidRPr="00802857" w:rsidRDefault="00A429E2" w:rsidP="009E749D"/>
    <w:p w14:paraId="0D855103" w14:textId="54F65ED9" w:rsidR="00A429E2" w:rsidRPr="00E16EBF" w:rsidRDefault="00E93599" w:rsidP="00530472">
      <w:pPr>
        <w:pStyle w:val="Geenafstand"/>
        <w:rPr>
          <w:b/>
          <w:bCs/>
          <w:color w:val="A6A6A6" w:themeColor="background1" w:themeShade="A6"/>
          <w:sz w:val="20"/>
          <w:szCs w:val="20"/>
        </w:rPr>
      </w:pPr>
      <w:r>
        <w:rPr>
          <w:b/>
          <w:bCs/>
          <w:sz w:val="20"/>
          <w:szCs w:val="20"/>
        </w:rPr>
        <w:t>ARBIT-2022</w:t>
      </w:r>
      <w:r w:rsidR="00A429E2">
        <w:rPr>
          <w:b/>
          <w:bCs/>
          <w:sz w:val="20"/>
          <w:szCs w:val="20"/>
        </w:rPr>
        <w:t xml:space="preserve"> Model Agile Contract concerning </w:t>
      </w:r>
      <w:r w:rsidR="00A429E2">
        <w:rPr>
          <w:b/>
          <w:bCs/>
          <w:color w:val="A6A6A6" w:themeColor="background1" w:themeShade="A6"/>
          <w:sz w:val="20"/>
          <w:szCs w:val="20"/>
        </w:rPr>
        <w:t>&lt;description of the nature of the deliverable comprised of the Public Service Contract to be performed&gt;</w:t>
      </w:r>
    </w:p>
    <w:p w14:paraId="4E81A912" w14:textId="77777777" w:rsidR="004A0591" w:rsidRDefault="004A0591" w:rsidP="00530472">
      <w:pPr>
        <w:pStyle w:val="Geenafstand"/>
        <w:rPr>
          <w:color w:val="A6A6A6" w:themeColor="background1" w:themeShade="A6"/>
        </w:rPr>
      </w:pPr>
    </w:p>
    <w:p w14:paraId="5F3FEE3B" w14:textId="77777777" w:rsidR="004A0591" w:rsidRPr="00802857" w:rsidRDefault="004A0591" w:rsidP="00530472">
      <w:pPr>
        <w:pStyle w:val="Geenafstand"/>
      </w:pPr>
    </w:p>
    <w:p w14:paraId="32A32D58" w14:textId="77777777" w:rsidR="00A429E2" w:rsidRPr="00D51607" w:rsidRDefault="00A429E2" w:rsidP="009E749D">
      <w:pPr>
        <w:rPr>
          <w:b/>
          <w:bCs/>
        </w:rPr>
      </w:pPr>
      <w:r>
        <w:rPr>
          <w:b/>
          <w:bCs/>
        </w:rPr>
        <w:t>The undersigned:</w:t>
      </w:r>
    </w:p>
    <w:p w14:paraId="390F4FA0" w14:textId="77777777" w:rsidR="00A429E2" w:rsidRPr="00802857" w:rsidRDefault="00A429E2" w:rsidP="009E749D"/>
    <w:p w14:paraId="1B6E91FB" w14:textId="77777777" w:rsidR="00A429E2" w:rsidRPr="00802857" w:rsidRDefault="00A429E2" w:rsidP="00E877CE">
      <w:pPr>
        <w:pStyle w:val="Lijstalinea"/>
        <w:numPr>
          <w:ilvl w:val="0"/>
          <w:numId w:val="6"/>
        </w:numPr>
        <w:ind w:left="567" w:hanging="567"/>
      </w:pPr>
      <w:r>
        <w:t xml:space="preserve">The State of the Netherlands, which has its seat in The Hague, represented by the Minister of/State Secretary for </w:t>
      </w:r>
      <w:r>
        <w:rPr>
          <w:color w:val="A6A6A6" w:themeColor="background1" w:themeShade="A6"/>
        </w:rPr>
        <w:t>&lt;name of portfolio&gt;</w:t>
      </w:r>
      <w:r>
        <w:t>,</w:t>
      </w:r>
      <w:r>
        <w:br/>
        <w:t>legally represented in this matter by</w:t>
      </w:r>
      <w:r>
        <w:br/>
      </w:r>
      <w:r>
        <w:rPr>
          <w:color w:val="A6A6A6" w:themeColor="background1" w:themeShade="A6"/>
        </w:rPr>
        <w:t>&lt;signatory’s name and position&gt;,</w:t>
      </w:r>
      <w:r>
        <w:br/>
        <w:t>hereinafter referred to as ‘the Contracting Authority’,</w:t>
      </w:r>
    </w:p>
    <w:p w14:paraId="7BE31063" w14:textId="77777777" w:rsidR="00A429E2" w:rsidRPr="00802857" w:rsidRDefault="00A429E2" w:rsidP="009E749D"/>
    <w:p w14:paraId="50F8ADBC" w14:textId="77777777" w:rsidR="00A429E2" w:rsidRPr="00802857" w:rsidRDefault="00A429E2" w:rsidP="009E749D">
      <w:r>
        <w:t>and</w:t>
      </w:r>
    </w:p>
    <w:p w14:paraId="6F2DE43A" w14:textId="77777777" w:rsidR="00A429E2" w:rsidRPr="00802857" w:rsidRDefault="00A429E2" w:rsidP="009E749D"/>
    <w:p w14:paraId="4E998A98" w14:textId="40BC8F35" w:rsidR="00A429E2" w:rsidRPr="00394CFB" w:rsidRDefault="00A429E2" w:rsidP="00E877CE">
      <w:pPr>
        <w:pStyle w:val="Lijstalinea"/>
        <w:numPr>
          <w:ilvl w:val="0"/>
          <w:numId w:val="6"/>
        </w:numPr>
        <w:ind w:left="567" w:hanging="567"/>
      </w:pPr>
      <w:r>
        <w:rPr>
          <w:color w:val="A6A6A6" w:themeColor="background1" w:themeShade="A6"/>
        </w:rPr>
        <w:t>&lt;full name and legal form of the contractor&gt;</w:t>
      </w:r>
      <w:r>
        <w:t xml:space="preserve">, which has its registered office in </w:t>
      </w:r>
      <w:r>
        <w:rPr>
          <w:color w:val="A6A6A6" w:themeColor="background1" w:themeShade="A6"/>
        </w:rPr>
        <w:t>&lt;place&gt;</w:t>
      </w:r>
      <w:r>
        <w:t xml:space="preserve">, legally represented in this matter by </w:t>
      </w:r>
      <w:r>
        <w:rPr>
          <w:color w:val="A6A6A6" w:themeColor="background1" w:themeShade="A6"/>
        </w:rPr>
        <w:t>&lt;signatory’s name and position&gt;</w:t>
      </w:r>
      <w:r>
        <w:t>,</w:t>
      </w:r>
      <w:r>
        <w:br/>
        <w:t>hereinafter referred to as ‘the Counterparty’,</w:t>
      </w:r>
      <w:r>
        <w:br/>
      </w:r>
    </w:p>
    <w:p w14:paraId="7CDDDD34" w14:textId="77777777" w:rsidR="00B35B95" w:rsidRPr="00394CFB" w:rsidRDefault="00B35B95" w:rsidP="00B35B95">
      <w:pPr>
        <w:spacing w:before="100" w:beforeAutospacing="1" w:after="240"/>
        <w:ind w:left="0" w:firstLine="0"/>
      </w:pPr>
      <w:r>
        <w:t>The Contracting Authority and the Counterparty are referred to below jointly as ‘the Parties’ and individually as ‘Party’.</w:t>
      </w:r>
    </w:p>
    <w:p w14:paraId="7366B711" w14:textId="77777777" w:rsidR="00A429E2" w:rsidRPr="00802857" w:rsidRDefault="00A429E2" w:rsidP="009E749D"/>
    <w:p w14:paraId="4689FCD0" w14:textId="77777777" w:rsidR="00A429E2" w:rsidRPr="00D51607" w:rsidRDefault="00A429E2" w:rsidP="009E749D">
      <w:pPr>
        <w:rPr>
          <w:b/>
          <w:bCs/>
        </w:rPr>
      </w:pPr>
      <w:r>
        <w:rPr>
          <w:b/>
          <w:bCs/>
        </w:rPr>
        <w:t>Whereas:</w:t>
      </w:r>
    </w:p>
    <w:p w14:paraId="36B4984C" w14:textId="77777777" w:rsidR="00A429E2" w:rsidRPr="00802857" w:rsidRDefault="00A429E2" w:rsidP="009E749D">
      <w:r>
        <w:t>Organisation and objective of the Contracting Authority</w:t>
      </w:r>
    </w:p>
    <w:p w14:paraId="299BA4CD" w14:textId="32A114D2" w:rsidR="0006207C" w:rsidRPr="00802857" w:rsidRDefault="00A429E2" w:rsidP="0006207C">
      <w:r>
        <w:t>a.</w:t>
      </w:r>
      <w:r>
        <w:tab/>
        <w:t xml:space="preserve">The Contracting Authority is responsible for </w:t>
      </w:r>
      <w:r>
        <w:rPr>
          <w:color w:val="A6A6A6" w:themeColor="background1" w:themeShade="A6"/>
        </w:rPr>
        <w:t>&lt;description of the organisation of the Contracting Authority, in so far as relevant to the Contract&gt;</w:t>
      </w:r>
      <w:r>
        <w:t>;</w:t>
      </w:r>
    </w:p>
    <w:p w14:paraId="391ACFB0" w14:textId="77777777" w:rsidR="00A429E2" w:rsidRPr="00802857" w:rsidRDefault="00A429E2" w:rsidP="004E7954">
      <w:r>
        <w:t>b.</w:t>
      </w:r>
      <w:r>
        <w:tab/>
        <w:t xml:space="preserve">In performing its duties the Contracting Authority needs </w:t>
      </w:r>
      <w:r>
        <w:rPr>
          <w:color w:val="A6A6A6" w:themeColor="background1" w:themeShade="A6"/>
        </w:rPr>
        <w:t>&lt;description of the Contracting Authority’s procurement need for a Deliverable to be developed in accordance with Agile practices, for which the Contracting Authority is entering into the Contract with the Counterparty&gt;</w:t>
      </w:r>
      <w:r>
        <w:t>;</w:t>
      </w:r>
    </w:p>
    <w:p w14:paraId="549E5D44" w14:textId="77777777" w:rsidR="00A429E2" w:rsidRPr="00802857" w:rsidRDefault="00A429E2" w:rsidP="009E749D"/>
    <w:p w14:paraId="5A6CDABC" w14:textId="77777777" w:rsidR="00A429E2" w:rsidRPr="00802857" w:rsidRDefault="00A429E2" w:rsidP="009E749D">
      <w:r>
        <w:t>Course of the contract award procedure</w:t>
      </w:r>
    </w:p>
    <w:p w14:paraId="1390F984" w14:textId="68A89321" w:rsidR="00772203" w:rsidRPr="00802857" w:rsidRDefault="00A429E2" w:rsidP="0006207C">
      <w:r>
        <w:t>c.</w:t>
      </w:r>
      <w:r>
        <w:tab/>
        <w:t xml:space="preserve">In connection with the recitals at a and b above, the Contracting Authority initiated a procedure to award a Public Service Contract for </w:t>
      </w:r>
      <w:r>
        <w:rPr>
          <w:color w:val="A6A6A6" w:themeColor="background1" w:themeShade="A6"/>
        </w:rPr>
        <w:t>&lt;description of intended end result&gt;</w:t>
      </w:r>
      <w:r>
        <w:t xml:space="preserve"> by means of </w:t>
      </w:r>
      <w:r>
        <w:rPr>
          <w:color w:val="A6A6A6" w:themeColor="background1" w:themeShade="A6"/>
        </w:rPr>
        <w:t>&lt;nature of the contract award procedure&gt;</w:t>
      </w:r>
      <w:r>
        <w:t>;</w:t>
      </w:r>
    </w:p>
    <w:p w14:paraId="3BC108C8" w14:textId="77777777" w:rsidR="00A429E2" w:rsidRDefault="00A429E2" w:rsidP="009E749D">
      <w:r>
        <w:t>d.</w:t>
      </w:r>
      <w:r>
        <w:tab/>
        <w:t>The Contracting Authority wishes this Deliverable to be achieved by means of collaboration on the basis of Agile (software) development;</w:t>
      </w:r>
    </w:p>
    <w:p w14:paraId="777AB399" w14:textId="77777777" w:rsidR="00667871" w:rsidRPr="00802857" w:rsidRDefault="00667871" w:rsidP="00667871">
      <w:pPr>
        <w:ind w:left="0" w:firstLine="0"/>
      </w:pPr>
    </w:p>
    <w:p w14:paraId="3948F7B5" w14:textId="77777777" w:rsidR="00A429E2" w:rsidRPr="00802857" w:rsidRDefault="00A429E2" w:rsidP="009E749D">
      <w:r>
        <w:lastRenderedPageBreak/>
        <w:t>e.</w:t>
      </w:r>
      <w:r>
        <w:tab/>
        <w:t xml:space="preserve">A tender notice was sent by or on behalf of the Contracting Authority to the Supplement to the Official Journal of the European Union on </w:t>
      </w:r>
      <w:r>
        <w:rPr>
          <w:color w:val="A6A6A6" w:themeColor="background1" w:themeShade="A6"/>
        </w:rPr>
        <w:t>&lt;date</w:t>
      </w:r>
      <w:r>
        <w:t xml:space="preserve">&gt; and has been published under number </w:t>
      </w:r>
      <w:r>
        <w:rPr>
          <w:color w:val="A6A6A6" w:themeColor="background1" w:themeShade="A6"/>
        </w:rPr>
        <w:t>&lt;S number&gt;</w:t>
      </w:r>
      <w:r>
        <w:t>;</w:t>
      </w:r>
    </w:p>
    <w:p w14:paraId="3F53AFCC" w14:textId="77777777" w:rsidR="00A429E2" w:rsidRPr="00802857" w:rsidRDefault="00A429E2" w:rsidP="009E749D">
      <w:r>
        <w:t>f.</w:t>
      </w:r>
      <w:r>
        <w:tab/>
      </w:r>
      <w:r>
        <w:rPr>
          <w:color w:val="A6A6A6" w:themeColor="background1" w:themeShade="A6"/>
        </w:rPr>
        <w:t>&lt;description of the remainder of the procurement process, depending of the nature of contract award procedure&gt;</w:t>
      </w:r>
      <w:r>
        <w:t>;</w:t>
      </w:r>
    </w:p>
    <w:p w14:paraId="088C052C" w14:textId="77777777" w:rsidR="006D3148" w:rsidRDefault="00A429E2" w:rsidP="009E749D">
      <w:r>
        <w:t>g.</w:t>
      </w:r>
      <w:r>
        <w:tab/>
        <w:t xml:space="preserve">The Contracting Authority awarded the contract to the Counterparty on </w:t>
      </w:r>
      <w:r>
        <w:rPr>
          <w:color w:val="A6A6A6" w:themeColor="background1" w:themeShade="A6"/>
        </w:rPr>
        <w:t>&lt;date&gt;</w:t>
      </w:r>
      <w:r>
        <w:t>.</w:t>
      </w:r>
    </w:p>
    <w:p w14:paraId="7EAF1736" w14:textId="77777777" w:rsidR="006D3148" w:rsidRDefault="006D3148" w:rsidP="009E749D"/>
    <w:p w14:paraId="1E1A7598" w14:textId="77777777" w:rsidR="00A429E2" w:rsidRPr="00802857" w:rsidRDefault="00A429E2" w:rsidP="009E749D"/>
    <w:p w14:paraId="094C617D" w14:textId="018FC4D9" w:rsidR="00D51607" w:rsidRDefault="00D51607" w:rsidP="009E749D"/>
    <w:p w14:paraId="52449F86" w14:textId="77777777" w:rsidR="00D51607" w:rsidRDefault="00D51607" w:rsidP="00A9370B">
      <w:pPr>
        <w:ind w:left="0" w:firstLine="0"/>
      </w:pPr>
    </w:p>
    <w:p w14:paraId="2DA8AA7A" w14:textId="77777777" w:rsidR="00C931FC" w:rsidRPr="00772203" w:rsidRDefault="00A429E2" w:rsidP="00772203">
      <w:pPr>
        <w:rPr>
          <w:b/>
          <w:bCs/>
        </w:rPr>
      </w:pPr>
      <w:r>
        <w:rPr>
          <w:b/>
          <w:bCs/>
        </w:rPr>
        <w:t>Agree as follows:</w:t>
      </w:r>
    </w:p>
    <w:p w14:paraId="3AA0D925" w14:textId="77777777" w:rsidR="00A429E2" w:rsidRPr="00E877CE" w:rsidRDefault="00A429E2" w:rsidP="00E877CE">
      <w:pPr>
        <w:pStyle w:val="Lijstalinea"/>
        <w:numPr>
          <w:ilvl w:val="0"/>
          <w:numId w:val="7"/>
        </w:numPr>
        <w:spacing w:before="240"/>
        <w:ind w:left="573" w:hanging="573"/>
        <w:rPr>
          <w:b/>
          <w:bCs/>
        </w:rPr>
      </w:pPr>
      <w:r>
        <w:rPr>
          <w:b/>
          <w:bCs/>
        </w:rPr>
        <w:t>Definitions</w:t>
      </w:r>
    </w:p>
    <w:p w14:paraId="47B73D94" w14:textId="21A34C41" w:rsidR="00A429E2" w:rsidRDefault="00A429E2" w:rsidP="00D51607">
      <w:pPr>
        <w:pStyle w:val="Geenafstand"/>
      </w:pPr>
      <w:r>
        <w:t>A number of terms in this Contract are written with initial capitals. These terms are defined in the Terms and Conditions and in the Data Processing Agreement.</w:t>
      </w:r>
      <w:r>
        <w:rPr>
          <w:color w:val="00B050"/>
        </w:rPr>
        <w:t xml:space="preserve"> </w:t>
      </w:r>
      <w:r>
        <w:t>Where written with an initial capital, the following additional terms are defined as follows:</w:t>
      </w:r>
    </w:p>
    <w:p w14:paraId="5BC22823" w14:textId="77777777" w:rsidR="00625A9D" w:rsidRPr="00802857" w:rsidRDefault="00625A9D" w:rsidP="009E749D"/>
    <w:p w14:paraId="428AAA98" w14:textId="17509C29" w:rsidR="00625A9D" w:rsidRDefault="00761598" w:rsidP="00E877CE">
      <w:pPr>
        <w:pStyle w:val="Lijstalinea"/>
        <w:numPr>
          <w:ilvl w:val="1"/>
          <w:numId w:val="7"/>
        </w:numPr>
      </w:pPr>
      <w:r>
        <w:t>Agile Software Development: an approach to the development and/or Implementation of Custom Software, as described in the Method and Practices Schedule.</w:t>
      </w:r>
    </w:p>
    <w:p w14:paraId="5CBF67ED" w14:textId="77777777" w:rsidR="00625A9D" w:rsidRDefault="00625A9D" w:rsidP="00F77093">
      <w:pPr>
        <w:ind w:left="0" w:firstLine="0"/>
      </w:pPr>
    </w:p>
    <w:p w14:paraId="3602DFB7" w14:textId="77777777" w:rsidR="00A429E2" w:rsidRDefault="00A429E2" w:rsidP="00E877CE">
      <w:pPr>
        <w:pStyle w:val="Lijstalinea"/>
        <w:numPr>
          <w:ilvl w:val="1"/>
          <w:numId w:val="7"/>
        </w:numPr>
      </w:pPr>
      <w:r>
        <w:t>Epic: a number of connected User Stories.</w:t>
      </w:r>
    </w:p>
    <w:p w14:paraId="274D498C" w14:textId="77777777" w:rsidR="00625A9D" w:rsidRDefault="00625A9D" w:rsidP="009E749D"/>
    <w:p w14:paraId="5B0B4012" w14:textId="57F21B16" w:rsidR="00B360CB" w:rsidRDefault="00CE561B" w:rsidP="00E877CE">
      <w:pPr>
        <w:pStyle w:val="Lijstalinea"/>
        <w:numPr>
          <w:ilvl w:val="1"/>
          <w:numId w:val="7"/>
        </w:numPr>
      </w:pPr>
      <w:r>
        <w:t>Approval: Written notification to the Counterparty in which the Contracting Authority declares that it has no objection to the Interim Results. Interim Results are Completed for the purpose of Approval. Approval by the Contracting Authority does not entail Acceptance of the Interim Results.</w:t>
      </w:r>
    </w:p>
    <w:p w14:paraId="59A5E5ED" w14:textId="77777777" w:rsidR="00625A9D" w:rsidRPr="009708CD" w:rsidRDefault="00625A9D" w:rsidP="00B8551E">
      <w:pPr>
        <w:ind w:left="0" w:firstLine="0"/>
      </w:pPr>
    </w:p>
    <w:p w14:paraId="4C72AACF" w14:textId="77777777" w:rsidR="003B2C03" w:rsidRDefault="00B431BE" w:rsidP="00E877CE">
      <w:pPr>
        <w:pStyle w:val="Lijstalinea"/>
        <w:numPr>
          <w:ilvl w:val="1"/>
          <w:numId w:val="7"/>
        </w:numPr>
      </w:pPr>
      <w:r>
        <w:t>Scrum Development Team: the team that:</w:t>
      </w:r>
      <w:r>
        <w:br/>
        <w:t>(a) works according to the practices and values of Agile software development in the context of achieving the Deliverable;</w:t>
      </w:r>
      <w:r>
        <w:br/>
        <w:t>(b) works in a collaborative and in so far as possible self-managing way to achieve the Deliverable;</w:t>
      </w:r>
      <w:r>
        <w:br/>
        <w:t>(c) consists of the Staff;</w:t>
      </w:r>
      <w:r>
        <w:br/>
        <w:t>(d) only takes on work at the instructions of, or in agreement with, the Product Owner;</w:t>
      </w:r>
      <w:r>
        <w:br/>
        <w:t xml:space="preserve">(e) is responsible for a full understanding of the User Stories and the way in which the User Stories are Implemented during the Sprints; </w:t>
      </w:r>
      <w:r>
        <w:br/>
        <w:t>(f) is responsible for achieving the Deliverable on the basis of the requirements and wishes of the Contracting Authority;</w:t>
      </w:r>
      <w:r>
        <w:br/>
        <w:t>(g) is transparent about the progress of the performance of the Public Service Contract during the Sprints and, during or at the end of each Sprint, Completes an Interim Result for the Product Owner, enabling the Product Owner to make any necessary adjustments to future Sprints.</w:t>
      </w:r>
    </w:p>
    <w:p w14:paraId="660FAEC0" w14:textId="77777777" w:rsidR="00610A74" w:rsidRDefault="00610A74" w:rsidP="003B2C03"/>
    <w:p w14:paraId="02AFD6A4" w14:textId="77777777" w:rsidR="00A429E2" w:rsidRDefault="00A429E2" w:rsidP="00E877CE">
      <w:pPr>
        <w:pStyle w:val="Lijstalinea"/>
        <w:numPr>
          <w:ilvl w:val="1"/>
          <w:numId w:val="7"/>
        </w:numPr>
      </w:pPr>
      <w:r>
        <w:t>Product Backlog: a work list that ultimately results in an overview of all User Stories which taken together constitute the Deliverable that is to be achieved. The Product Backlog is used as the basis for determining what has top priority in the execution of the Project.</w:t>
      </w:r>
    </w:p>
    <w:p w14:paraId="2ECA11B8" w14:textId="77777777" w:rsidR="00625A9D" w:rsidRPr="00625A9D" w:rsidRDefault="00625A9D" w:rsidP="009E749D"/>
    <w:p w14:paraId="191685E8" w14:textId="77777777" w:rsidR="003B2C03" w:rsidRDefault="00A429E2" w:rsidP="00E877CE">
      <w:pPr>
        <w:pStyle w:val="Lijstalinea"/>
        <w:numPr>
          <w:ilvl w:val="1"/>
          <w:numId w:val="7"/>
        </w:numPr>
      </w:pPr>
      <w:r>
        <w:t>Product Owner: the person who:</w:t>
      </w:r>
      <w:r>
        <w:br/>
        <w:t xml:space="preserve">(a) works according to the practices and values of Agile Software Development in the context of achieving the Deliverable; </w:t>
      </w:r>
      <w:r>
        <w:br/>
        <w:t xml:space="preserve">(b) represents the Contracting Authority in the Scrum Development Team;  </w:t>
      </w:r>
      <w:r>
        <w:br/>
        <w:t xml:space="preserve">(c) is responsible for clearly and unambiguously describing the public service contract in terms of Epics and User Stories for the benefit of the Scrum Development Team; and   </w:t>
      </w:r>
      <w:r>
        <w:br/>
        <w:t xml:space="preserve">(d) is responsible for a sufficient workload at the start of each Sprint. </w:t>
      </w:r>
    </w:p>
    <w:p w14:paraId="101BD965" w14:textId="77777777" w:rsidR="00625A9D" w:rsidRDefault="00625A9D" w:rsidP="000543F4"/>
    <w:p w14:paraId="176FAF71" w14:textId="77777777" w:rsidR="00625A9D" w:rsidRDefault="00A429E2" w:rsidP="00E877CE">
      <w:pPr>
        <w:pStyle w:val="Lijstalinea"/>
        <w:numPr>
          <w:ilvl w:val="1"/>
          <w:numId w:val="7"/>
        </w:numPr>
      </w:pPr>
      <w:r>
        <w:t>Project: all activities in the context of the Contract that are aimed at achieving the Deliverable.</w:t>
      </w:r>
      <w:r>
        <w:br/>
      </w:r>
    </w:p>
    <w:p w14:paraId="32AA3AEC" w14:textId="37C47D70" w:rsidR="00625A9D" w:rsidRDefault="00A429E2" w:rsidP="00E877CE">
      <w:pPr>
        <w:pStyle w:val="Lijstalinea"/>
        <w:numPr>
          <w:ilvl w:val="1"/>
          <w:numId w:val="7"/>
        </w:numPr>
      </w:pPr>
      <w:r>
        <w:t xml:space="preserve">Project Document: an action plan in which important parts and aspects of the Project are described, having the content described in article 2.2. The Project Document approved by both Parties will be attached as a Schedule. </w:t>
      </w:r>
      <w:r>
        <w:br/>
      </w:r>
    </w:p>
    <w:p w14:paraId="47A34467" w14:textId="77777777" w:rsidR="00625A9D" w:rsidRDefault="00A429E2" w:rsidP="00E877CE">
      <w:pPr>
        <w:pStyle w:val="Lijstalinea"/>
        <w:numPr>
          <w:ilvl w:val="1"/>
          <w:numId w:val="7"/>
        </w:numPr>
      </w:pPr>
      <w:r>
        <w:lastRenderedPageBreak/>
        <w:t>Project Start Architecture: IT architecture agreements laid down as safeguards to ensure that the developments and changes that must be realised by the Project are aligned with the Reference Architecture.</w:t>
      </w:r>
      <w:r>
        <w:br/>
      </w:r>
    </w:p>
    <w:p w14:paraId="5D8406FF" w14:textId="77777777" w:rsidR="00625A9D" w:rsidRDefault="00A429E2" w:rsidP="00E877CE">
      <w:pPr>
        <w:pStyle w:val="Lijstalinea"/>
        <w:numPr>
          <w:ilvl w:val="1"/>
          <w:numId w:val="7"/>
        </w:numPr>
      </w:pPr>
      <w:r>
        <w:t>Project Plan: part of the tender that is elaborated in the Project Document.</w:t>
      </w:r>
      <w:r>
        <w:br/>
      </w:r>
    </w:p>
    <w:p w14:paraId="2D0D4DD6" w14:textId="67FD7892" w:rsidR="00625A9D" w:rsidRDefault="00A429E2" w:rsidP="00E877CE">
      <w:pPr>
        <w:pStyle w:val="Lijstalinea"/>
        <w:numPr>
          <w:ilvl w:val="1"/>
          <w:numId w:val="7"/>
        </w:numPr>
      </w:pPr>
      <w:r>
        <w:t>Reporting: the manner in which it has been agreed that the Counterparty will report to the Contracting Authority about the performance of the Services.</w:t>
      </w:r>
      <w:r>
        <w:br/>
      </w:r>
    </w:p>
    <w:p w14:paraId="726FE57A" w14:textId="77777777" w:rsidR="00625A9D" w:rsidRDefault="00A429E2" w:rsidP="00E877CE">
      <w:pPr>
        <w:pStyle w:val="Lijstalinea"/>
        <w:numPr>
          <w:ilvl w:val="1"/>
          <w:numId w:val="7"/>
        </w:numPr>
      </w:pPr>
      <w:r>
        <w:t>Reference Architecture: the underlying IT architecture that needs to be in place in realising the Deliverable in order to safeguard that the Deliverable is properly structured and is, and will remain, maintainable.</w:t>
      </w:r>
    </w:p>
    <w:p w14:paraId="49C37840" w14:textId="77777777" w:rsidR="00625A9D" w:rsidRDefault="00625A9D" w:rsidP="00D056BB">
      <w:pPr>
        <w:ind w:left="0" w:firstLine="0"/>
      </w:pPr>
    </w:p>
    <w:p w14:paraId="6AE8FDB3" w14:textId="78E319E3" w:rsidR="00625A9D" w:rsidRDefault="00625A9D" w:rsidP="00E877CE">
      <w:pPr>
        <w:pStyle w:val="Lijstalinea"/>
        <w:numPr>
          <w:ilvl w:val="1"/>
          <w:numId w:val="7"/>
        </w:numPr>
      </w:pPr>
      <w:r>
        <w:t>Scrum Master: the person who:</w:t>
      </w:r>
      <w:r>
        <w:br/>
        <w:t xml:space="preserve">(a) works according to the practices and values of Agile Software Development in the context of achieving the Deliverable; </w:t>
      </w:r>
      <w:r>
        <w:br/>
        <w:t xml:space="preserve">(b) facilitates the Product Owner and the Scrum Development Team during the Project; </w:t>
      </w:r>
      <w:r>
        <w:br/>
        <w:t xml:space="preserve">(c) coaches the Scrum Development Team, the Product Owner and the relevant personnel of the Contracting Authority and the Counterparty on the principles and practices of Agile Software Development; </w:t>
      </w:r>
      <w:r>
        <w:br/>
        <w:t>(d) endeavours to raise collaboration within the Scrum Development Team to a higher level;</w:t>
      </w:r>
      <w:r>
        <w:br/>
        <w:t xml:space="preserve">(e) endeavours to prevent or eliminate obstacles and/or delays to the Project. </w:t>
      </w:r>
      <w:r>
        <w:br/>
      </w:r>
    </w:p>
    <w:p w14:paraId="07599CB0" w14:textId="77777777" w:rsidR="00625A9D" w:rsidRDefault="00A429E2" w:rsidP="00E877CE">
      <w:pPr>
        <w:pStyle w:val="Lijstalinea"/>
        <w:numPr>
          <w:ilvl w:val="1"/>
          <w:numId w:val="7"/>
        </w:numPr>
      </w:pPr>
      <w:r>
        <w:t>Sprint: each defined period in which the Scrum Development Team will Complete one or more Interim Results on the basis of a sprint objective and User Stories.</w:t>
      </w:r>
      <w:r>
        <w:br/>
      </w:r>
    </w:p>
    <w:p w14:paraId="13DCCBB4" w14:textId="7404F3CE" w:rsidR="00625A9D" w:rsidRDefault="00A429E2" w:rsidP="00E877CE">
      <w:pPr>
        <w:pStyle w:val="Lijstalinea"/>
        <w:numPr>
          <w:ilvl w:val="1"/>
          <w:numId w:val="7"/>
        </w:numPr>
        <w:rPr>
          <w:rFonts w:ascii="Calibri" w:eastAsia="Times New Roman" w:hAnsi="Calibri" w:cs="Calibri"/>
          <w:sz w:val="22"/>
          <w:szCs w:val="22"/>
        </w:rPr>
      </w:pPr>
      <w:r>
        <w:t>Sprint Planning: the shared expectations of the Parties regarding what will be Completed at the end of the Sprint and how the work will be done during a Sprint.</w:t>
      </w:r>
      <w:r>
        <w:rPr>
          <w:rFonts w:ascii="Calibri" w:hAnsi="Calibri"/>
          <w:sz w:val="22"/>
          <w:szCs w:val="22"/>
        </w:rPr>
        <w:br/>
      </w:r>
    </w:p>
    <w:p w14:paraId="187F81F9" w14:textId="77777777" w:rsidR="009E749D" w:rsidRDefault="00A429E2" w:rsidP="00E877CE">
      <w:pPr>
        <w:pStyle w:val="Lijstalinea"/>
        <w:numPr>
          <w:ilvl w:val="1"/>
          <w:numId w:val="7"/>
        </w:numPr>
      </w:pPr>
      <w:r>
        <w:t>Interim Result: each part of the Deliverable that will be achieved during or at the end of a Sprint in the context of the Public Service Contract.</w:t>
      </w:r>
      <w:r>
        <w:br/>
      </w:r>
    </w:p>
    <w:p w14:paraId="6EA9EF2B" w14:textId="77777777" w:rsidR="0000607F" w:rsidRDefault="00A429E2" w:rsidP="00E877CE">
      <w:pPr>
        <w:pStyle w:val="Lijstalinea"/>
        <w:numPr>
          <w:ilvl w:val="1"/>
          <w:numId w:val="7"/>
        </w:numPr>
      </w:pPr>
      <w:r>
        <w:t>User Story: a complete description of the requirements and wishes of an Interim Result, including the functional acceptance criteria, described from the perspective of the end user.</w:t>
      </w:r>
    </w:p>
    <w:p w14:paraId="084929EE" w14:textId="77777777" w:rsidR="00E877CE" w:rsidRPr="00802857" w:rsidRDefault="00E877CE" w:rsidP="00E877CE">
      <w:pPr>
        <w:ind w:left="0" w:firstLine="0"/>
      </w:pPr>
    </w:p>
    <w:p w14:paraId="79DA32C0" w14:textId="77777777" w:rsidR="00A429E2" w:rsidRPr="00E877CE" w:rsidRDefault="00A429E2" w:rsidP="00E877CE">
      <w:pPr>
        <w:pStyle w:val="Lijstalinea"/>
        <w:numPr>
          <w:ilvl w:val="0"/>
          <w:numId w:val="7"/>
        </w:numPr>
        <w:spacing w:before="240"/>
        <w:ind w:left="573" w:hanging="573"/>
        <w:rPr>
          <w:b/>
          <w:bCs/>
        </w:rPr>
      </w:pPr>
      <w:r>
        <w:rPr>
          <w:b/>
          <w:bCs/>
        </w:rPr>
        <w:t>Subject of the Contract</w:t>
      </w:r>
    </w:p>
    <w:p w14:paraId="42D9DECB" w14:textId="77777777" w:rsidR="00A429E2" w:rsidRPr="00E877CE" w:rsidRDefault="00A429E2" w:rsidP="00E877CE">
      <w:pPr>
        <w:pStyle w:val="Lijstalinea"/>
        <w:numPr>
          <w:ilvl w:val="1"/>
          <w:numId w:val="7"/>
        </w:numPr>
        <w:rPr>
          <w:color w:val="A6A6A6" w:themeColor="background1" w:themeShade="A6"/>
        </w:rPr>
      </w:pPr>
      <w:r>
        <w:t>The Parties hereby conclude a Contract under which the Counterparty undertakes, in consideration of the Fee referred to in article 6, to achieve the Deliverable described in the Specifications and the Project Document, which basically consists of:</w:t>
      </w:r>
      <w:r>
        <w:br/>
      </w:r>
      <w:r>
        <w:br/>
        <w:t>-</w:t>
      </w:r>
      <w:r>
        <w:tab/>
        <w:t>performance of the Agile Public Service Contract / the Public Service Contracts:</w:t>
      </w:r>
      <w:r>
        <w:br/>
      </w:r>
      <w:r>
        <w:rPr>
          <w:color w:val="A6A6A6" w:themeColor="background1" w:themeShade="A6"/>
        </w:rPr>
        <w:t>&lt;Explanatory note: Describe the (substance of) the intended end situation of the Agile development (or further development) of the products, services, functionalities and/or IT systems that is to be achieved by performance of the Contract.&gt;</w:t>
      </w:r>
    </w:p>
    <w:p w14:paraId="3B44F314" w14:textId="77777777" w:rsidR="0003784C" w:rsidRPr="00802857" w:rsidRDefault="0003784C" w:rsidP="0003784C">
      <w:pPr>
        <w:ind w:firstLine="0"/>
        <w:rPr>
          <w:rFonts w:ascii="Calibri" w:eastAsia="Calibri" w:hAnsi="Calibri" w:cs="Calibri"/>
          <w:sz w:val="22"/>
          <w:szCs w:val="22"/>
        </w:rPr>
      </w:pPr>
    </w:p>
    <w:p w14:paraId="5F2E1E3B" w14:textId="77777777" w:rsidR="000543F4" w:rsidRPr="00802857" w:rsidRDefault="00A429E2" w:rsidP="0003784C">
      <w:pPr>
        <w:ind w:firstLine="0"/>
      </w:pPr>
      <w:r>
        <w:t>in order to enable the Contracting Authority to make the Agreed Use thereof.</w:t>
      </w:r>
    </w:p>
    <w:p w14:paraId="074AA0B8" w14:textId="77777777" w:rsidR="00A429E2" w:rsidRPr="00802857" w:rsidRDefault="00A429E2" w:rsidP="009E749D"/>
    <w:p w14:paraId="550459CE" w14:textId="0D7CAD3C" w:rsidR="00A429E2" w:rsidRPr="00802857" w:rsidRDefault="00A429E2" w:rsidP="00E877CE">
      <w:pPr>
        <w:pStyle w:val="Lijstalinea"/>
        <w:numPr>
          <w:ilvl w:val="1"/>
          <w:numId w:val="7"/>
        </w:numPr>
      </w:pPr>
      <w:r>
        <w:t xml:space="preserve">For the performance of the Contract, the Parties will, by no later than </w:t>
      </w:r>
      <w:r>
        <w:rPr>
          <w:color w:val="A6A6A6" w:themeColor="background1" w:themeShade="A6"/>
        </w:rPr>
        <w:t>&lt;date&gt;</w:t>
      </w:r>
      <w:r>
        <w:t xml:space="preserve"> and on the basis of the Specifications and the Project Plan, adopt a Project Document approved by both Parties</w:t>
      </w:r>
      <w:r>
        <w:rPr>
          <w:color w:val="A6A6A6" w:themeColor="background1" w:themeShade="A6"/>
        </w:rPr>
        <w:t>.</w:t>
      </w:r>
      <w:r>
        <w:t xml:space="preserve"> The Project Document describes:</w:t>
      </w:r>
      <w:r>
        <w:br/>
        <w:t>(a) further details of the Deliverable in so far as is necessary;</w:t>
      </w:r>
      <w:r>
        <w:br/>
        <w:t>(b) more details of the collaboration in so far as is necessary;</w:t>
      </w:r>
      <w:r>
        <w:br/>
        <w:t xml:space="preserve">(c) the Project Start Architecture; </w:t>
      </w:r>
      <w:r>
        <w:br/>
        <w:t>(d) the Reference Architecture;</w:t>
      </w:r>
      <w:r>
        <w:br/>
        <w:t>(e) general agreements on the capacity, seniority and skills of the Product Owner, Scrum Master and Scrum Development Team;</w:t>
      </w:r>
      <w:r>
        <w:br/>
        <w:t xml:space="preserve">(f) the consultation and escalation arrangements; </w:t>
      </w:r>
      <w:r>
        <w:br/>
        <w:t>(g) fees and invoicing in accordance with article 6 (and &lt;</w:t>
      </w:r>
      <w:r>
        <w:rPr>
          <w:b/>
          <w:i/>
          <w:u w:val="single"/>
        </w:rPr>
        <w:t>OPTIONAL</w:t>
      </w:r>
      <w:r>
        <w:t>&gt; SCHEDULE</w:t>
      </w:r>
      <w:r>
        <w:rPr>
          <w:b/>
        </w:rPr>
        <w:t xml:space="preserve"> </w:t>
      </w:r>
      <w:r>
        <w:t>X),</w:t>
      </w:r>
      <w:r>
        <w:rPr>
          <w:b/>
        </w:rPr>
        <w:t xml:space="preserve"> </w:t>
      </w:r>
      <w:r>
        <w:t>and;</w:t>
      </w:r>
      <w:r>
        <w:br/>
        <w:t>(h) the manner in which Reporting takes place.</w:t>
      </w:r>
      <w:r>
        <w:br/>
      </w:r>
    </w:p>
    <w:p w14:paraId="0E57DA52" w14:textId="287B7154" w:rsidR="007A36A4" w:rsidRDefault="00A429E2" w:rsidP="006207F6">
      <w:pPr>
        <w:pStyle w:val="Lijstalinea"/>
        <w:numPr>
          <w:ilvl w:val="1"/>
          <w:numId w:val="7"/>
        </w:numPr>
      </w:pPr>
      <w:r>
        <w:t>The following documents together constitute the Contract. In the event of mutual inconsistencies, a higher ranked document takes precedence over a lower ranked document:</w:t>
      </w:r>
      <w:r>
        <w:br/>
      </w:r>
      <w:r>
        <w:lastRenderedPageBreak/>
        <w:t>1) this document;</w:t>
      </w:r>
      <w:r>
        <w:br/>
        <w:t>2) the Data Processing Agreement (Data Processing Agreement Schedule) (if applicable);</w:t>
      </w:r>
    </w:p>
    <w:p w14:paraId="2E0E6F1A" w14:textId="77777777" w:rsidR="007A36A4" w:rsidRDefault="007A36A4" w:rsidP="007A36A4">
      <w:pPr>
        <w:ind w:left="454" w:firstLine="116"/>
      </w:pPr>
      <w:r>
        <w:t>3) the Terms and Conditions (Terms and Conditions Schedule);</w:t>
      </w:r>
    </w:p>
    <w:p w14:paraId="0EF59D3C" w14:textId="77777777" w:rsidR="007A36A4" w:rsidRDefault="007A36A4" w:rsidP="007A36A4">
      <w:pPr>
        <w:ind w:left="454" w:firstLine="116"/>
      </w:pPr>
      <w:r>
        <w:t>4) the Project Document (Project Document Schedule);</w:t>
      </w:r>
    </w:p>
    <w:p w14:paraId="22F61F0F" w14:textId="0404DFED" w:rsidR="00772203" w:rsidRPr="00802857" w:rsidRDefault="007A36A4" w:rsidP="007A36A4">
      <w:pPr>
        <w:ind w:left="570" w:firstLine="0"/>
      </w:pPr>
      <w:r>
        <w:t>5) the Specifications (Specifications Schedule);</w:t>
      </w:r>
      <w:r>
        <w:br/>
        <w:t>6) the other Schedules;</w:t>
      </w:r>
      <w:r>
        <w:br/>
        <w:t>7) the tender of &lt;date&gt;, reference (&lt;reference&gt;), submitted by the Counterparty to the Contracting Authority.</w:t>
      </w:r>
    </w:p>
    <w:p w14:paraId="57125984" w14:textId="77777777" w:rsidR="0030225F" w:rsidRPr="00802857" w:rsidRDefault="0030225F" w:rsidP="009E749D"/>
    <w:p w14:paraId="7600F956" w14:textId="1AFF3C01" w:rsidR="00A429E2" w:rsidRDefault="00A429E2" w:rsidP="00E877CE">
      <w:pPr>
        <w:pStyle w:val="Lijstalinea"/>
        <w:numPr>
          <w:ilvl w:val="1"/>
          <w:numId w:val="7"/>
        </w:numPr>
      </w:pPr>
      <w:r>
        <w:t>&lt;</w:t>
      </w:r>
      <w:r>
        <w:rPr>
          <w:b/>
          <w:i/>
          <w:u w:val="single"/>
        </w:rPr>
        <w:t>OPTIONAL</w:t>
      </w:r>
      <w:r>
        <w:t xml:space="preserve">&gt; There is an interrelationship as referred to in article 30.5 of the General Government Terms and Conditions for IT Contracts (ARBIT) between this Contract and </w:t>
      </w:r>
      <w:r>
        <w:rPr>
          <w:color w:val="A6A6A6" w:themeColor="background1" w:themeShade="A6"/>
        </w:rPr>
        <w:t>&lt;title and reference of contract&gt;</w:t>
      </w:r>
      <w:r>
        <w:t>.</w:t>
      </w:r>
    </w:p>
    <w:p w14:paraId="4CADBC18" w14:textId="77777777" w:rsidR="00D651D8" w:rsidRPr="00802857" w:rsidRDefault="00D651D8" w:rsidP="00D651D8">
      <w:pPr>
        <w:pStyle w:val="Lijstalinea"/>
        <w:numPr>
          <w:ilvl w:val="0"/>
          <w:numId w:val="0"/>
        </w:numPr>
        <w:ind w:left="570"/>
      </w:pPr>
    </w:p>
    <w:p w14:paraId="1E6A5706" w14:textId="77777777" w:rsidR="00A429E2" w:rsidRPr="00802857" w:rsidRDefault="00A429E2" w:rsidP="00E877CE">
      <w:pPr>
        <w:pStyle w:val="Lijstalinea"/>
        <w:numPr>
          <w:ilvl w:val="0"/>
          <w:numId w:val="7"/>
        </w:numPr>
        <w:spacing w:before="240"/>
        <w:ind w:left="573" w:hanging="573"/>
        <w:rPr>
          <w:rFonts w:eastAsia="Arial"/>
        </w:rPr>
      </w:pPr>
      <w:r>
        <w:rPr>
          <w:b/>
          <w:bCs/>
        </w:rPr>
        <w:t>Sprints</w:t>
      </w:r>
      <w:r>
        <w:t xml:space="preserve"> </w:t>
      </w:r>
    </w:p>
    <w:p w14:paraId="4AF56D18" w14:textId="77777777" w:rsidR="00DA68C1" w:rsidRDefault="00E702F7" w:rsidP="008C70D3">
      <w:pPr>
        <w:pStyle w:val="Lijstalinea"/>
        <w:numPr>
          <w:ilvl w:val="1"/>
          <w:numId w:val="7"/>
        </w:numPr>
        <w:rPr>
          <w:color w:val="000000"/>
        </w:rPr>
      </w:pPr>
      <w:r>
        <w:rPr>
          <w:color w:val="000000"/>
        </w:rPr>
        <w:t>&lt;</w:t>
      </w:r>
      <w:r>
        <w:rPr>
          <w:b/>
          <w:i/>
          <w:u w:val="single"/>
        </w:rPr>
        <w:t>OPTIONAL</w:t>
      </w:r>
      <w:r>
        <w:rPr>
          <w:color w:val="000000"/>
        </w:rPr>
        <w:t xml:space="preserve">&gt; </w:t>
      </w:r>
      <w:r>
        <w:t xml:space="preserve">The Project is to be implemented by means of &lt;number&gt; </w:t>
      </w:r>
      <w:r>
        <w:rPr>
          <w:color w:val="000000"/>
        </w:rPr>
        <w:t>Sprints.</w:t>
      </w:r>
    </w:p>
    <w:p w14:paraId="41753023" w14:textId="07F0D120" w:rsidR="00DA68C1" w:rsidRPr="00DA68C1" w:rsidRDefault="008C70D3" w:rsidP="00DA68C1">
      <w:pPr>
        <w:pStyle w:val="Lijstalinea"/>
        <w:numPr>
          <w:ilvl w:val="0"/>
          <w:numId w:val="0"/>
        </w:numPr>
        <w:ind w:left="570"/>
        <w:rPr>
          <w:b/>
          <w:bCs/>
          <w:color w:val="000000"/>
        </w:rPr>
      </w:pPr>
      <w:r>
        <w:rPr>
          <w:color w:val="000000"/>
        </w:rPr>
        <w:br/>
      </w:r>
      <w:r>
        <w:rPr>
          <w:b/>
          <w:bCs/>
          <w:color w:val="000000"/>
        </w:rPr>
        <w:t>OR</w:t>
      </w:r>
    </w:p>
    <w:p w14:paraId="7099418A" w14:textId="446713F3" w:rsidR="00A429E2" w:rsidRPr="008C70D3" w:rsidRDefault="008C70D3" w:rsidP="00DA68C1">
      <w:pPr>
        <w:pStyle w:val="Lijstalinea"/>
        <w:numPr>
          <w:ilvl w:val="0"/>
          <w:numId w:val="0"/>
        </w:numPr>
        <w:ind w:left="570"/>
        <w:rPr>
          <w:color w:val="000000"/>
        </w:rPr>
      </w:pPr>
      <w:r>
        <w:rPr>
          <w:color w:val="000000"/>
        </w:rPr>
        <w:br/>
        <w:t>&lt;</w:t>
      </w:r>
      <w:r>
        <w:rPr>
          <w:b/>
          <w:i/>
          <w:u w:val="single"/>
        </w:rPr>
        <w:t>OPTIONAL</w:t>
      </w:r>
      <w:r>
        <w:rPr>
          <w:color w:val="000000"/>
        </w:rPr>
        <w:t>&gt; The intended number of Sprints is to be laid down in the Project Document.</w:t>
      </w:r>
      <w:r>
        <w:br/>
      </w:r>
    </w:p>
    <w:p w14:paraId="42744C76" w14:textId="77777777" w:rsidR="00BD6CEE" w:rsidRDefault="0040795E" w:rsidP="008C70D3">
      <w:pPr>
        <w:pStyle w:val="Lijstalinea"/>
        <w:numPr>
          <w:ilvl w:val="1"/>
          <w:numId w:val="7"/>
        </w:numPr>
      </w:pPr>
      <w:r>
        <w:t>At the start of each Sprint the intended Interim Results of the Sprint will be determined on the basis of User Stories.</w:t>
      </w:r>
    </w:p>
    <w:p w14:paraId="02A61221" w14:textId="77777777" w:rsidR="00A429E2" w:rsidRPr="00802857" w:rsidRDefault="00A429E2" w:rsidP="009E749D"/>
    <w:p w14:paraId="38122580" w14:textId="2A17C6F3" w:rsidR="00D51607" w:rsidRDefault="00A429E2" w:rsidP="008C70D3">
      <w:pPr>
        <w:pStyle w:val="Lijstalinea"/>
        <w:numPr>
          <w:ilvl w:val="1"/>
          <w:numId w:val="7"/>
        </w:numPr>
      </w:pPr>
      <w:r>
        <w:t>Each Sprint comprises testing the results of the work done. The Counterparty is responsible for helping to ensure that testing takes place in a professional manner. If it is or must be clear to the Counterparty that testing is not taking place in a professional manner, the Counterparty will issue the Contracting Authority with a timely warning.</w:t>
      </w:r>
      <w:r>
        <w:br/>
      </w:r>
    </w:p>
    <w:p w14:paraId="2B356B1B" w14:textId="77777777" w:rsidR="00D51607" w:rsidRDefault="0026235A" w:rsidP="008C70D3">
      <w:pPr>
        <w:pStyle w:val="Lijstalinea"/>
        <w:numPr>
          <w:ilvl w:val="1"/>
          <w:numId w:val="7"/>
        </w:numPr>
      </w:pPr>
      <w:r>
        <w:t>At the end of each Sprint:</w:t>
      </w:r>
      <w:r>
        <w:br/>
        <w:t xml:space="preserve">(a) it will be assessed which subjects are to be addressed during the next Sprint; </w:t>
      </w:r>
      <w:r>
        <w:br/>
        <w:t xml:space="preserve">(b) it will be assessed whether there is scope for improving working procedures; </w:t>
      </w:r>
      <w:r>
        <w:br/>
        <w:t>(c) it will be determined whether the Interim Result can be Approved;</w:t>
      </w:r>
      <w:r>
        <w:br/>
        <w:t xml:space="preserve">(d) it will be determined how the time spent relates to the Fee or the remaining portion of the Fee; </w:t>
      </w:r>
      <w:r>
        <w:br/>
        <w:t>(e) it will be determined whether adjustments need to be made to the Project.</w:t>
      </w:r>
      <w:r>
        <w:br/>
      </w:r>
    </w:p>
    <w:p w14:paraId="3B5ABFDA" w14:textId="77777777" w:rsidR="009616F5" w:rsidRDefault="00CE561B" w:rsidP="008C70D3">
      <w:pPr>
        <w:pStyle w:val="Lijstalinea"/>
        <w:numPr>
          <w:ilvl w:val="1"/>
          <w:numId w:val="7"/>
        </w:numPr>
      </w:pPr>
      <w:r>
        <w:t xml:space="preserve">After the last Sprint, Completion will take place </w:t>
      </w:r>
      <w:r>
        <w:rPr>
          <w:color w:val="808080" w:themeColor="background1" w:themeShade="80"/>
        </w:rPr>
        <w:t>&lt;within x days&gt;</w:t>
      </w:r>
      <w:r>
        <w:t xml:space="preserve"> and the Contracting Authority will declare whether the Deliverable is to be accepted.</w:t>
      </w:r>
    </w:p>
    <w:p w14:paraId="237EEE41" w14:textId="77777777" w:rsidR="00D51607" w:rsidRDefault="00D51607" w:rsidP="008C70D3">
      <w:pPr>
        <w:ind w:left="0" w:firstLine="0"/>
      </w:pPr>
    </w:p>
    <w:p w14:paraId="57870835" w14:textId="77777777" w:rsidR="001762CF" w:rsidRDefault="001762CF" w:rsidP="008C70D3">
      <w:pPr>
        <w:pStyle w:val="Lijstalinea"/>
        <w:numPr>
          <w:ilvl w:val="1"/>
          <w:numId w:val="7"/>
        </w:numPr>
      </w:pPr>
      <w:r>
        <w:t>&lt;</w:t>
      </w:r>
      <w:r>
        <w:rPr>
          <w:b/>
          <w:i/>
          <w:u w:val="single"/>
        </w:rPr>
        <w:t>OPTIONAL</w:t>
      </w:r>
      <w:r>
        <w:t xml:space="preserve">&gt; If the Contracting Authority Approves the Interim Result or Accepts the Deliverable despite the existence of one or more Defects, the Contracting Authority will withhold an amount of </w:t>
      </w:r>
      <w:r>
        <w:rPr>
          <w:color w:val="808080" w:themeColor="background1" w:themeShade="80"/>
        </w:rPr>
        <w:t>&lt;amount&gt;</w:t>
      </w:r>
      <w:r>
        <w:t xml:space="preserve"> from the Fee until the Defects have been repaired. </w:t>
      </w:r>
    </w:p>
    <w:p w14:paraId="7252B5DD" w14:textId="77777777" w:rsidR="0000607F" w:rsidRPr="0000607F" w:rsidRDefault="0000607F" w:rsidP="009E749D"/>
    <w:p w14:paraId="6A17CC9A" w14:textId="5410E7A7" w:rsidR="002A7F28" w:rsidRPr="00D651D8" w:rsidRDefault="00A429E2" w:rsidP="008C70D3">
      <w:pPr>
        <w:pStyle w:val="Lijstalinea"/>
        <w:numPr>
          <w:ilvl w:val="1"/>
          <w:numId w:val="7"/>
        </w:numPr>
        <w:rPr>
          <w:rFonts w:eastAsia="Calibri"/>
        </w:rPr>
      </w:pPr>
      <w:r>
        <w:t xml:space="preserve">In making the declaration under article 3.5, the Contracting Authority will take into account: </w:t>
      </w:r>
      <w:r>
        <w:br/>
        <w:t xml:space="preserve">(a) the tests carried out during the Sprints; </w:t>
      </w:r>
      <w:r>
        <w:br/>
        <w:t>(b) interim Approval during the Sprints; and</w:t>
      </w:r>
      <w:r>
        <w:br/>
        <w:t>(c) adjustments made to the Project during the Project.</w:t>
      </w:r>
    </w:p>
    <w:p w14:paraId="2793D7DF" w14:textId="77777777" w:rsidR="00D651D8" w:rsidRPr="00D651D8" w:rsidRDefault="00D651D8" w:rsidP="00D651D8">
      <w:pPr>
        <w:rPr>
          <w:rFonts w:eastAsia="Calibri"/>
        </w:rPr>
      </w:pPr>
    </w:p>
    <w:p w14:paraId="2E1130C0" w14:textId="77777777" w:rsidR="00A429E2" w:rsidRPr="00E877CE" w:rsidRDefault="00A429E2" w:rsidP="00E877CE">
      <w:pPr>
        <w:pStyle w:val="Lijstalinea"/>
        <w:numPr>
          <w:ilvl w:val="0"/>
          <w:numId w:val="7"/>
        </w:numPr>
        <w:spacing w:before="240"/>
        <w:ind w:left="573" w:hanging="573"/>
        <w:rPr>
          <w:b/>
          <w:bCs/>
        </w:rPr>
      </w:pPr>
      <w:r>
        <w:rPr>
          <w:b/>
          <w:bCs/>
        </w:rPr>
        <w:t>Contacts and reporting</w:t>
      </w:r>
    </w:p>
    <w:p w14:paraId="6487F271" w14:textId="77777777" w:rsidR="00A429E2" w:rsidRPr="00802857" w:rsidRDefault="00A429E2" w:rsidP="008C70D3">
      <w:pPr>
        <w:pStyle w:val="Lijstalinea"/>
        <w:numPr>
          <w:ilvl w:val="1"/>
          <w:numId w:val="7"/>
        </w:numPr>
      </w:pPr>
      <w:r>
        <w:t xml:space="preserve">The persons who liaise on behalf of the parties in relation to the performance of the Contract are listed in the Contacts Schedule. </w:t>
      </w:r>
    </w:p>
    <w:p w14:paraId="4E6CB7D6" w14:textId="77777777" w:rsidR="00A429E2" w:rsidRPr="00802857" w:rsidRDefault="00A429E2" w:rsidP="009E749D"/>
    <w:p w14:paraId="3BD55DF7" w14:textId="256A3DB5" w:rsidR="00A429E2" w:rsidRPr="00D651D8" w:rsidRDefault="002B4A8B" w:rsidP="008C70D3">
      <w:pPr>
        <w:pStyle w:val="Lijstalinea"/>
        <w:numPr>
          <w:ilvl w:val="1"/>
          <w:numId w:val="7"/>
        </w:numPr>
      </w:pPr>
      <w:r>
        <w:t xml:space="preserve">The Counterparty will report </w:t>
      </w:r>
      <w:r>
        <w:rPr>
          <w:color w:val="808080" w:themeColor="background1" w:themeShade="80"/>
        </w:rPr>
        <w:t>&lt;period&gt;</w:t>
      </w:r>
      <w:r>
        <w:t xml:space="preserve"> on how the Contract is being performed. The report will include at a minimum:</w:t>
      </w:r>
      <w:r>
        <w:br/>
        <w:t>(a) progress in the performance of the Public Service Contract;</w:t>
      </w:r>
      <w:r>
        <w:br/>
        <w:t xml:space="preserve">(b) changes to the Project that result in a longer period of collaboration being required; </w:t>
      </w:r>
      <w:r>
        <w:br/>
        <w:t xml:space="preserve">(c) whether and, if so, how, the Fee should be adjusted in the opinion of the Counterparty; </w:t>
      </w:r>
      <w:r>
        <w:br/>
        <w:t>(d) agreed deviations from the Project Start Architecture, the Reference Architecture and/or functionality as previously envisaged as part of the Deliverable; and</w:t>
      </w:r>
      <w:r>
        <w:br/>
        <w:t xml:space="preserve">(e) </w:t>
      </w:r>
      <w:r>
        <w:rPr>
          <w:color w:val="808080" w:themeColor="background1" w:themeShade="80"/>
        </w:rPr>
        <w:t>&lt;enter&gt;</w:t>
      </w:r>
    </w:p>
    <w:p w14:paraId="750DDC2D" w14:textId="77777777" w:rsidR="00D651D8" w:rsidRPr="00802857" w:rsidRDefault="00D651D8" w:rsidP="00D651D8">
      <w:pPr>
        <w:pStyle w:val="Lijstalinea"/>
        <w:numPr>
          <w:ilvl w:val="0"/>
          <w:numId w:val="0"/>
        </w:numPr>
        <w:ind w:left="454"/>
      </w:pPr>
    </w:p>
    <w:p w14:paraId="0382A2AD" w14:textId="77777777" w:rsidR="00A429E2" w:rsidRPr="00E877CE" w:rsidRDefault="00A429E2" w:rsidP="00E877CE">
      <w:pPr>
        <w:pStyle w:val="Lijstalinea"/>
        <w:numPr>
          <w:ilvl w:val="0"/>
          <w:numId w:val="7"/>
        </w:numPr>
        <w:spacing w:before="240"/>
        <w:ind w:left="573" w:hanging="573"/>
        <w:rPr>
          <w:b/>
          <w:bCs/>
        </w:rPr>
      </w:pPr>
      <w:r>
        <w:rPr>
          <w:b/>
          <w:bCs/>
        </w:rPr>
        <w:lastRenderedPageBreak/>
        <w:t>Entry into force and term of the Contract</w:t>
      </w:r>
    </w:p>
    <w:p w14:paraId="45A78770" w14:textId="73BBB183" w:rsidR="00A429E2" w:rsidRPr="00802857" w:rsidRDefault="0076127F" w:rsidP="008C70D3">
      <w:pPr>
        <w:pStyle w:val="Lijstalinea"/>
        <w:numPr>
          <w:ilvl w:val="1"/>
          <w:numId w:val="7"/>
        </w:numPr>
      </w:pPr>
      <w:r>
        <w:t>&lt;</w:t>
      </w:r>
      <w:r>
        <w:rPr>
          <w:b/>
          <w:i/>
          <w:u w:val="single"/>
        </w:rPr>
        <w:t>OPTIONAL</w:t>
      </w:r>
      <w:r>
        <w:t xml:space="preserve">&gt; The Contract enters into force once it has been signed by both Parties and ends upon the Public Service Contract having been performed, unless termination takes place on the other grounds as referred to in article 30 of the </w:t>
      </w:r>
      <w:r w:rsidR="00E93599">
        <w:t>ARBIT-2022</w:t>
      </w:r>
      <w:r>
        <w:t xml:space="preserve">. </w:t>
      </w:r>
    </w:p>
    <w:p w14:paraId="47039D31" w14:textId="77777777" w:rsidR="00A429E2" w:rsidRPr="00802857" w:rsidRDefault="00A429E2" w:rsidP="009E749D"/>
    <w:p w14:paraId="70B241E8" w14:textId="28BFD1EB" w:rsidR="00A429E2" w:rsidRDefault="00A2570B" w:rsidP="008C70D3">
      <w:pPr>
        <w:pStyle w:val="Lijstalinea"/>
        <w:numPr>
          <w:ilvl w:val="1"/>
          <w:numId w:val="7"/>
        </w:numPr>
      </w:pPr>
      <w:r>
        <w:t>&lt;</w:t>
      </w:r>
      <w:r>
        <w:rPr>
          <w:b/>
          <w:i/>
          <w:u w:val="single"/>
        </w:rPr>
        <w:t>OPTIONAL</w:t>
      </w:r>
      <w:r>
        <w:t xml:space="preserve">&gt; The Contract enters into force once it has been signed by both Parties and ends on </w:t>
      </w:r>
      <w:r>
        <w:rPr>
          <w:color w:val="808080" w:themeColor="background1" w:themeShade="80"/>
        </w:rPr>
        <w:t>&lt;date&gt;</w:t>
      </w:r>
      <w:r>
        <w:t xml:space="preserve">. The Contract can be renewed on the same terms and conditions for a period of </w:t>
      </w:r>
      <w:r>
        <w:rPr>
          <w:color w:val="808080" w:themeColor="background1" w:themeShade="80"/>
        </w:rPr>
        <w:t>&lt;enter period&gt;</w:t>
      </w:r>
      <w:r>
        <w:t xml:space="preserve">, provided that the Contracting Authority gives the Counterparty written notice of this no later than </w:t>
      </w:r>
      <w:r>
        <w:rPr>
          <w:color w:val="808080" w:themeColor="background1" w:themeShade="80"/>
        </w:rPr>
        <w:t>&lt;enter weeks/months&gt;</w:t>
      </w:r>
      <w:r>
        <w:t xml:space="preserve"> before the expiry of the initial term.</w:t>
      </w:r>
    </w:p>
    <w:p w14:paraId="22961579" w14:textId="77777777" w:rsidR="00D651D8" w:rsidRPr="00802857" w:rsidRDefault="00D651D8" w:rsidP="00D651D8"/>
    <w:p w14:paraId="01974AB6" w14:textId="77777777" w:rsidR="00A429E2" w:rsidRPr="005534E7" w:rsidRDefault="00A429E2" w:rsidP="00E877CE">
      <w:pPr>
        <w:pStyle w:val="Lijstalinea"/>
        <w:numPr>
          <w:ilvl w:val="0"/>
          <w:numId w:val="7"/>
        </w:numPr>
        <w:spacing w:before="240"/>
        <w:ind w:left="573" w:hanging="573"/>
        <w:rPr>
          <w:rFonts w:eastAsia="Calibri"/>
        </w:rPr>
      </w:pPr>
      <w:r>
        <w:rPr>
          <w:b/>
          <w:bCs/>
        </w:rPr>
        <w:t>Fee</w:t>
      </w:r>
    </w:p>
    <w:p w14:paraId="31F239EC" w14:textId="30304681" w:rsidR="0000097E" w:rsidRDefault="005534E7" w:rsidP="008C70D3">
      <w:pPr>
        <w:pStyle w:val="Lijstalinea"/>
        <w:numPr>
          <w:ilvl w:val="1"/>
          <w:numId w:val="7"/>
        </w:numPr>
      </w:pPr>
      <w:r>
        <w:t>&lt;</w:t>
      </w:r>
      <w:r>
        <w:rPr>
          <w:b/>
          <w:i/>
          <w:u w:val="single"/>
        </w:rPr>
        <w:t>OPTIONAL</w:t>
      </w:r>
      <w:r>
        <w:t xml:space="preserve">&gt; (if </w:t>
      </w:r>
      <w:r>
        <w:rPr>
          <w:u w:val="single"/>
        </w:rPr>
        <w:t>no</w:t>
      </w:r>
      <w:r>
        <w:t xml:space="preserve"> maximum Fee has been set) The Parties agree the following Fee based on hourly rates: </w:t>
      </w:r>
      <w:r>
        <w:rPr>
          <w:color w:val="808080" w:themeColor="background1" w:themeShade="80"/>
        </w:rPr>
        <w:t>&lt;……&gt;</w:t>
      </w:r>
    </w:p>
    <w:p w14:paraId="4D30D64F" w14:textId="77777777" w:rsidR="0000097E" w:rsidRDefault="008C70D3" w:rsidP="0000097E">
      <w:pPr>
        <w:pStyle w:val="Lijstalinea"/>
        <w:numPr>
          <w:ilvl w:val="0"/>
          <w:numId w:val="0"/>
        </w:numPr>
        <w:ind w:left="570"/>
      </w:pPr>
      <w:r>
        <w:br/>
      </w:r>
      <w:r>
        <w:rPr>
          <w:b/>
          <w:bCs/>
        </w:rPr>
        <w:t>OR</w:t>
      </w:r>
    </w:p>
    <w:p w14:paraId="2419CB1C" w14:textId="566DCBD0" w:rsidR="00A429E2" w:rsidRPr="00802857" w:rsidRDefault="008C70D3" w:rsidP="0000097E">
      <w:pPr>
        <w:pStyle w:val="Lijstalinea"/>
        <w:numPr>
          <w:ilvl w:val="0"/>
          <w:numId w:val="0"/>
        </w:numPr>
        <w:ind w:left="570"/>
      </w:pPr>
      <w:r>
        <w:br/>
        <w:t>&lt;</w:t>
      </w:r>
      <w:r>
        <w:rPr>
          <w:b/>
          <w:i/>
          <w:u w:val="single"/>
        </w:rPr>
        <w:t>OPTIONAL</w:t>
      </w:r>
      <w:r>
        <w:t xml:space="preserve">&gt; (if a maximum Fee has been set): The Parties agree the following Fee: </w:t>
      </w:r>
      <w:r>
        <w:rPr>
          <w:color w:val="808080" w:themeColor="background1" w:themeShade="80"/>
        </w:rPr>
        <w:t>&lt;amount&gt;</w:t>
      </w:r>
      <w:r>
        <w:br/>
      </w:r>
    </w:p>
    <w:p w14:paraId="0C91C459" w14:textId="1F9E1DA3" w:rsidR="00A429E2" w:rsidRPr="002B0863" w:rsidRDefault="00A429E2" w:rsidP="00D056BB">
      <w:pPr>
        <w:pStyle w:val="Lijstalinea"/>
        <w:numPr>
          <w:ilvl w:val="1"/>
          <w:numId w:val="7"/>
        </w:numPr>
      </w:pPr>
      <w:r>
        <w:t>&lt;</w:t>
      </w:r>
      <w:r>
        <w:rPr>
          <w:b/>
          <w:i/>
          <w:u w:val="single"/>
        </w:rPr>
        <w:t>OPTIONAL</w:t>
      </w:r>
      <w:r>
        <w:t xml:space="preserve">&gt; If no maximum Fee has been set, after </w:t>
      </w:r>
      <w:r>
        <w:rPr>
          <w:color w:val="808080" w:themeColor="background1" w:themeShade="80"/>
        </w:rPr>
        <w:t>&lt;date&gt;</w:t>
      </w:r>
      <w:r>
        <w:t xml:space="preserve"> the hourly rates may be adjusted once a year on </w:t>
      </w:r>
      <w:r>
        <w:rPr>
          <w:color w:val="808080" w:themeColor="background1" w:themeShade="80"/>
        </w:rPr>
        <w:t>&lt;date&gt;</w:t>
      </w:r>
      <w:r>
        <w:t xml:space="preserve"> by a percentage not exceeding the price index published by Statistics Netherlands for hourly rates of pay including special remuneration established under collective labour agreements in the category M-N business services sector (2010 = 100).</w:t>
      </w:r>
    </w:p>
    <w:p w14:paraId="4F263AC6" w14:textId="77777777" w:rsidR="00A429E2" w:rsidRPr="002B0863" w:rsidRDefault="00A429E2" w:rsidP="009E749D"/>
    <w:p w14:paraId="08A9951D" w14:textId="43A40AE3" w:rsidR="00A429E2" w:rsidRPr="00802857" w:rsidRDefault="00A429E2" w:rsidP="008C70D3">
      <w:pPr>
        <w:pStyle w:val="Lijstalinea"/>
        <w:numPr>
          <w:ilvl w:val="1"/>
          <w:numId w:val="7"/>
        </w:numPr>
      </w:pPr>
      <w:r>
        <w:t>&lt;</w:t>
      </w:r>
      <w:r>
        <w:rPr>
          <w:b/>
          <w:i/>
          <w:u w:val="single"/>
        </w:rPr>
        <w:t>OPTIONAL</w:t>
      </w:r>
      <w:r>
        <w:t xml:space="preserve">&gt; If, upon Completion, the Deliverable is rejected by the Contracting Authority, an amount of </w:t>
      </w:r>
      <w:r>
        <w:rPr>
          <w:color w:val="808080" w:themeColor="background1" w:themeShade="80"/>
        </w:rPr>
        <w:t>&lt;amount&gt;</w:t>
      </w:r>
      <w:r>
        <w:t xml:space="preserve"> will be deducted from the Fee for every day that the identified Defects are not repaired, up to a maximum of </w:t>
      </w:r>
      <w:r>
        <w:rPr>
          <w:color w:val="808080" w:themeColor="background1" w:themeShade="80"/>
        </w:rPr>
        <w:t>&lt;amount&gt;</w:t>
      </w:r>
      <w:r>
        <w:t>.</w:t>
      </w:r>
    </w:p>
    <w:p w14:paraId="6CCA26CA" w14:textId="034F1FD4" w:rsidR="00A429E2" w:rsidRPr="00802857" w:rsidRDefault="00A429E2" w:rsidP="00D651D8">
      <w:pPr>
        <w:ind w:left="0" w:firstLine="0"/>
      </w:pPr>
    </w:p>
    <w:p w14:paraId="223F087F" w14:textId="77777777" w:rsidR="00A429E2" w:rsidRPr="00E877CE" w:rsidRDefault="00A429E2" w:rsidP="00E877CE">
      <w:pPr>
        <w:pStyle w:val="Lijstalinea"/>
        <w:numPr>
          <w:ilvl w:val="0"/>
          <w:numId w:val="7"/>
        </w:numPr>
        <w:spacing w:before="240"/>
        <w:ind w:left="573" w:hanging="573"/>
        <w:rPr>
          <w:b/>
          <w:bCs/>
        </w:rPr>
      </w:pPr>
      <w:r>
        <w:rPr>
          <w:b/>
          <w:bCs/>
        </w:rPr>
        <w:t>Invoicing, indebtedness and payment</w:t>
      </w:r>
    </w:p>
    <w:p w14:paraId="6735C661" w14:textId="77777777" w:rsidR="00A429E2" w:rsidRPr="00802857" w:rsidRDefault="00A429E2" w:rsidP="008C70D3">
      <w:pPr>
        <w:pStyle w:val="Lijstalinea"/>
        <w:numPr>
          <w:ilvl w:val="1"/>
          <w:numId w:val="7"/>
        </w:numPr>
      </w:pPr>
      <w:bookmarkStart w:id="0" w:name="_Ref77776443"/>
      <w:r>
        <w:t>The Fee is owed from:</w:t>
      </w:r>
      <w:bookmarkEnd w:id="0"/>
    </w:p>
    <w:p w14:paraId="150853B4" w14:textId="77777777" w:rsidR="00A429E2" w:rsidRPr="00802857" w:rsidRDefault="00A429E2" w:rsidP="009E749D"/>
    <w:tbl>
      <w:tblPr>
        <w:tblW w:w="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5500"/>
        <w:gridCol w:w="2000"/>
      </w:tblGrid>
      <w:tr w:rsidR="00A429E2" w:rsidRPr="00802857" w14:paraId="193AFE05" w14:textId="77777777" w:rsidTr="00A429E2">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7B7FD968" w14:textId="77777777" w:rsidR="00A429E2" w:rsidRPr="00802857" w:rsidRDefault="00A429E2" w:rsidP="00571725">
            <w:pPr>
              <w:ind w:left="0" w:firstLine="0"/>
            </w:pPr>
            <w:r>
              <w:t>Serial number</w:t>
            </w:r>
          </w:p>
        </w:tc>
        <w:tc>
          <w:tcPr>
            <w:tcW w:w="5500" w:type="dxa"/>
            <w:tcBorders>
              <w:top w:val="single" w:sz="4" w:space="0" w:color="auto"/>
              <w:left w:val="single" w:sz="4" w:space="0" w:color="auto"/>
              <w:bottom w:val="single" w:sz="4" w:space="0" w:color="auto"/>
              <w:right w:val="single" w:sz="4" w:space="0" w:color="auto"/>
            </w:tcBorders>
            <w:shd w:val="clear" w:color="auto" w:fill="999999"/>
            <w:hideMark/>
          </w:tcPr>
          <w:p w14:paraId="72C473BF" w14:textId="77777777" w:rsidR="00A429E2" w:rsidRPr="00802857" w:rsidRDefault="00A429E2" w:rsidP="009E749D">
            <w:r>
              <w:t>Subject</w:t>
            </w:r>
          </w:p>
        </w:tc>
        <w:tc>
          <w:tcPr>
            <w:tcW w:w="2000" w:type="dxa"/>
            <w:tcBorders>
              <w:top w:val="single" w:sz="4" w:space="0" w:color="auto"/>
              <w:left w:val="single" w:sz="4" w:space="0" w:color="auto"/>
              <w:bottom w:val="single" w:sz="4" w:space="0" w:color="auto"/>
              <w:right w:val="single" w:sz="4" w:space="0" w:color="auto"/>
            </w:tcBorders>
            <w:shd w:val="clear" w:color="auto" w:fill="999999"/>
            <w:hideMark/>
          </w:tcPr>
          <w:p w14:paraId="75996816" w14:textId="77777777" w:rsidR="00A429E2" w:rsidRPr="00802857" w:rsidRDefault="00A429E2" w:rsidP="00571725">
            <w:pPr>
              <w:ind w:left="0" w:firstLine="0"/>
            </w:pPr>
            <w:r>
              <w:t>Time of indebtedness</w:t>
            </w:r>
          </w:p>
        </w:tc>
      </w:tr>
      <w:tr w:rsidR="00A429E2" w:rsidRPr="008544F7" w14:paraId="5841DA5B" w14:textId="77777777" w:rsidTr="00A429E2">
        <w:trPr>
          <w:trHeight w:val="269"/>
        </w:trPr>
        <w:tc>
          <w:tcPr>
            <w:tcW w:w="1100" w:type="dxa"/>
            <w:tcBorders>
              <w:top w:val="single" w:sz="4" w:space="0" w:color="auto"/>
              <w:left w:val="single" w:sz="4" w:space="0" w:color="auto"/>
              <w:bottom w:val="single" w:sz="4" w:space="0" w:color="auto"/>
              <w:right w:val="single" w:sz="4" w:space="0" w:color="auto"/>
            </w:tcBorders>
            <w:hideMark/>
          </w:tcPr>
          <w:p w14:paraId="072FBA32" w14:textId="77777777" w:rsidR="00A429E2" w:rsidRPr="00802857" w:rsidRDefault="00A429E2" w:rsidP="009E749D">
            <w:r>
              <w:t>B1</w:t>
            </w:r>
          </w:p>
        </w:tc>
        <w:tc>
          <w:tcPr>
            <w:tcW w:w="5500" w:type="dxa"/>
            <w:tcBorders>
              <w:top w:val="single" w:sz="4" w:space="0" w:color="auto"/>
              <w:left w:val="single" w:sz="4" w:space="0" w:color="auto"/>
              <w:bottom w:val="single" w:sz="4" w:space="0" w:color="auto"/>
              <w:right w:val="single" w:sz="4" w:space="0" w:color="auto"/>
            </w:tcBorders>
            <w:hideMark/>
          </w:tcPr>
          <w:p w14:paraId="4D06C25E" w14:textId="77777777" w:rsidR="00A429E2" w:rsidRDefault="008544F7" w:rsidP="009E749D">
            <w:r>
              <w:t xml:space="preserve">Approval of Interim Result(s) </w:t>
            </w:r>
          </w:p>
          <w:p w14:paraId="175B5E74" w14:textId="77777777" w:rsidR="008A4FB5" w:rsidRPr="00802857" w:rsidRDefault="008A4FB5" w:rsidP="009E749D"/>
        </w:tc>
        <w:tc>
          <w:tcPr>
            <w:tcW w:w="2000" w:type="dxa"/>
            <w:tcBorders>
              <w:top w:val="single" w:sz="4" w:space="0" w:color="auto"/>
              <w:left w:val="single" w:sz="4" w:space="0" w:color="auto"/>
              <w:bottom w:val="single" w:sz="4" w:space="0" w:color="auto"/>
              <w:right w:val="single" w:sz="4" w:space="0" w:color="auto"/>
            </w:tcBorders>
            <w:hideMark/>
          </w:tcPr>
          <w:p w14:paraId="27433480" w14:textId="77777777" w:rsidR="00A429E2" w:rsidRPr="008544F7" w:rsidRDefault="00A429E2" w:rsidP="00571725">
            <w:pPr>
              <w:ind w:left="0" w:firstLine="0"/>
            </w:pPr>
            <w:r>
              <w:rPr>
                <w:color w:val="A6A6A6" w:themeColor="background1" w:themeShade="A6"/>
              </w:rPr>
              <w:t>&lt;date or number of days after Approval&gt;</w:t>
            </w:r>
          </w:p>
        </w:tc>
      </w:tr>
      <w:tr w:rsidR="00A429E2" w:rsidRPr="008544F7" w14:paraId="5BD63A1C" w14:textId="77777777" w:rsidTr="00A429E2">
        <w:trPr>
          <w:trHeight w:val="269"/>
        </w:trPr>
        <w:tc>
          <w:tcPr>
            <w:tcW w:w="1100" w:type="dxa"/>
            <w:tcBorders>
              <w:top w:val="single" w:sz="4" w:space="0" w:color="auto"/>
              <w:left w:val="single" w:sz="4" w:space="0" w:color="auto"/>
              <w:bottom w:val="single" w:sz="4" w:space="0" w:color="auto"/>
              <w:right w:val="single" w:sz="4" w:space="0" w:color="auto"/>
            </w:tcBorders>
          </w:tcPr>
          <w:p w14:paraId="7162B650" w14:textId="77777777" w:rsidR="00A429E2" w:rsidRPr="008544F7" w:rsidRDefault="008544F7" w:rsidP="009E749D">
            <w:r>
              <w:t>B1</w:t>
            </w:r>
          </w:p>
        </w:tc>
        <w:tc>
          <w:tcPr>
            <w:tcW w:w="5500" w:type="dxa"/>
            <w:tcBorders>
              <w:top w:val="single" w:sz="4" w:space="0" w:color="auto"/>
              <w:left w:val="single" w:sz="4" w:space="0" w:color="auto"/>
              <w:bottom w:val="single" w:sz="4" w:space="0" w:color="auto"/>
              <w:right w:val="single" w:sz="4" w:space="0" w:color="auto"/>
            </w:tcBorders>
          </w:tcPr>
          <w:p w14:paraId="72F9126C" w14:textId="77777777" w:rsidR="00A429E2" w:rsidRPr="00802857" w:rsidRDefault="005534E7" w:rsidP="009E749D">
            <w:r>
              <w:t>Acceptance of the Deliverable</w:t>
            </w:r>
          </w:p>
        </w:tc>
        <w:tc>
          <w:tcPr>
            <w:tcW w:w="2000" w:type="dxa"/>
            <w:tcBorders>
              <w:top w:val="single" w:sz="4" w:space="0" w:color="auto"/>
              <w:left w:val="single" w:sz="4" w:space="0" w:color="auto"/>
              <w:bottom w:val="single" w:sz="4" w:space="0" w:color="auto"/>
              <w:right w:val="single" w:sz="4" w:space="0" w:color="auto"/>
            </w:tcBorders>
          </w:tcPr>
          <w:p w14:paraId="5844A0B6" w14:textId="77777777" w:rsidR="00A429E2" w:rsidRPr="008544F7" w:rsidRDefault="008544F7" w:rsidP="00571725">
            <w:pPr>
              <w:ind w:left="0" w:firstLine="0"/>
            </w:pPr>
            <w:r>
              <w:rPr>
                <w:color w:val="A6A6A6" w:themeColor="background1" w:themeShade="A6"/>
              </w:rPr>
              <w:t>&lt;date or number of days after Acceptance&gt;</w:t>
            </w:r>
          </w:p>
        </w:tc>
      </w:tr>
    </w:tbl>
    <w:p w14:paraId="448035C3" w14:textId="77777777" w:rsidR="00A429E2" w:rsidRPr="008544F7" w:rsidRDefault="00A429E2" w:rsidP="009E749D"/>
    <w:p w14:paraId="059B61C5" w14:textId="77777777" w:rsidR="00A429E2" w:rsidRPr="00802857" w:rsidRDefault="00A429E2" w:rsidP="008C70D3">
      <w:pPr>
        <w:pStyle w:val="Lijstalinea"/>
        <w:numPr>
          <w:ilvl w:val="1"/>
          <w:numId w:val="7"/>
        </w:numPr>
      </w:pPr>
      <w:bookmarkStart w:id="1" w:name="_Ref77776500"/>
      <w:r>
        <w:t>An invoice should contain the following information:</w:t>
      </w:r>
      <w:r>
        <w:br/>
        <w:t>-</w:t>
      </w:r>
      <w:r>
        <w:tab/>
        <w:t>date of invoice</w:t>
      </w:r>
      <w:r>
        <w:br/>
        <w:t>-</w:t>
      </w:r>
      <w:r>
        <w:tab/>
        <w:t>amount of the Fee</w:t>
      </w:r>
      <w:r>
        <w:br/>
        <w:t>-</w:t>
      </w:r>
      <w:r>
        <w:tab/>
        <w:t>VAT owed</w:t>
      </w:r>
      <w:r>
        <w:br/>
        <w:t>-</w:t>
      </w:r>
      <w:r>
        <w:tab/>
        <w:t>contract number</w:t>
      </w:r>
      <w:r>
        <w:br/>
        <w:t>-</w:t>
      </w:r>
      <w:r>
        <w:tab/>
        <w:t>commitment number</w:t>
      </w:r>
      <w:r>
        <w:br/>
        <w:t>&lt;</w:t>
      </w:r>
      <w:r>
        <w:rPr>
          <w:b/>
          <w:i/>
          <w:u w:val="single"/>
        </w:rPr>
        <w:t>OPTIONAL&gt;</w:t>
      </w:r>
      <w:r>
        <w:t xml:space="preserve"> &lt;other invoice requirements&gt; sprint number(s).</w:t>
      </w:r>
      <w:bookmarkEnd w:id="1"/>
    </w:p>
    <w:p w14:paraId="35027392" w14:textId="77777777" w:rsidR="00A429E2" w:rsidRPr="00802857" w:rsidRDefault="00A429E2" w:rsidP="009E749D"/>
    <w:p w14:paraId="707C6E09" w14:textId="77777777" w:rsidR="00D651D8" w:rsidRDefault="00A429E2" w:rsidP="008C70D3">
      <w:pPr>
        <w:pStyle w:val="Lijstalinea"/>
        <w:numPr>
          <w:ilvl w:val="1"/>
          <w:numId w:val="7"/>
        </w:numPr>
      </w:pPr>
      <w:r>
        <w:t>The Counterparty must submit invoices electronically in the manner prescribed in the Specifications.</w:t>
      </w:r>
    </w:p>
    <w:p w14:paraId="463E327A" w14:textId="77777777" w:rsidR="00D651D8" w:rsidRPr="00D651D8" w:rsidRDefault="008C70D3" w:rsidP="00D651D8">
      <w:pPr>
        <w:pStyle w:val="Lijstalinea"/>
        <w:numPr>
          <w:ilvl w:val="0"/>
          <w:numId w:val="0"/>
        </w:numPr>
        <w:ind w:left="567" w:hanging="567"/>
        <w:rPr>
          <w:b/>
          <w:bCs/>
        </w:rPr>
      </w:pPr>
      <w:r>
        <w:br/>
      </w:r>
      <w:r>
        <w:rPr>
          <w:b/>
          <w:bCs/>
        </w:rPr>
        <w:t>OR</w:t>
      </w:r>
    </w:p>
    <w:p w14:paraId="3A1879F0" w14:textId="18FC37D4" w:rsidR="00A429E2" w:rsidRPr="00802857" w:rsidRDefault="008C70D3" w:rsidP="00D651D8">
      <w:pPr>
        <w:pStyle w:val="Lijstalinea"/>
        <w:numPr>
          <w:ilvl w:val="0"/>
          <w:numId w:val="0"/>
        </w:numPr>
        <w:ind w:left="454"/>
      </w:pPr>
      <w:r>
        <w:br/>
        <w:t>&lt;</w:t>
      </w:r>
      <w:r>
        <w:rPr>
          <w:b/>
          <w:i/>
          <w:u w:val="single"/>
        </w:rPr>
        <w:t>OPTIONAL</w:t>
      </w:r>
      <w:r>
        <w:t xml:space="preserve">&gt; Notwithstanding the provisions of article 14.2 of the ARBIT, the Counterparty will send the invoice containing the particulars referred to in article </w:t>
      </w:r>
      <w:r>
        <w:fldChar w:fldCharType="begin"/>
      </w:r>
      <w:r>
        <w:instrText xml:space="preserve"> REF _Ref77776500 \r \h </w:instrText>
      </w:r>
      <w:r>
        <w:fldChar w:fldCharType="separate"/>
      </w:r>
      <w:r w:rsidR="00103F23">
        <w:t>7.2</w:t>
      </w:r>
      <w:r>
        <w:fldChar w:fldCharType="end"/>
      </w:r>
      <w:r>
        <w:t xml:space="preserve"> to: </w:t>
      </w:r>
      <w:r>
        <w:rPr>
          <w:color w:val="808080" w:themeColor="background1" w:themeShade="80"/>
        </w:rPr>
        <w:t>&lt;Invoicing address&gt;.</w:t>
      </w:r>
    </w:p>
    <w:p w14:paraId="580AB41E" w14:textId="77777777" w:rsidR="00A429E2" w:rsidRPr="00802857" w:rsidRDefault="00A429E2" w:rsidP="009E749D"/>
    <w:p w14:paraId="2DACCB20" w14:textId="6FF017FC" w:rsidR="008C70D3" w:rsidRDefault="00A429E2" w:rsidP="008C70D3">
      <w:pPr>
        <w:pStyle w:val="Lijstalinea"/>
        <w:numPr>
          <w:ilvl w:val="1"/>
          <w:numId w:val="7"/>
        </w:numPr>
      </w:pPr>
      <w:r>
        <w:t>&lt;</w:t>
      </w:r>
      <w:r>
        <w:rPr>
          <w:b/>
          <w:i/>
          <w:u w:val="single"/>
        </w:rPr>
        <w:t>OPTIONAL</w:t>
      </w:r>
      <w:r>
        <w:t xml:space="preserve"> If an amount is paid as an advance to the Counterparty and security is required in exchange&gt; The Contracting Authority will pay to the Counterparty prior to </w:t>
      </w:r>
      <w:r>
        <w:lastRenderedPageBreak/>
        <w:t xml:space="preserve">Acceptance an advance of </w:t>
      </w:r>
      <w:r>
        <w:rPr>
          <w:color w:val="808080" w:themeColor="background1" w:themeShade="80"/>
        </w:rPr>
        <w:t>&lt;amount&gt;</w:t>
      </w:r>
      <w:r>
        <w:t xml:space="preserve">. This concerns the amounts referred to under serial number(s) </w:t>
      </w:r>
      <w:r>
        <w:rPr>
          <w:color w:val="808080" w:themeColor="background1" w:themeShade="80"/>
        </w:rPr>
        <w:t>&lt;serial number(s)&gt;</w:t>
      </w:r>
      <w:r>
        <w:t xml:space="preserve"> in the table in article </w:t>
      </w:r>
      <w:r w:rsidR="008C70D3">
        <w:fldChar w:fldCharType="begin"/>
      </w:r>
      <w:r w:rsidR="008C70D3">
        <w:instrText xml:space="preserve"> REF _Ref77776443 \r \h </w:instrText>
      </w:r>
      <w:r w:rsidR="008C70D3">
        <w:fldChar w:fldCharType="separate"/>
      </w:r>
      <w:r w:rsidR="00103F23">
        <w:t>7.1</w:t>
      </w:r>
      <w:r w:rsidR="008C70D3">
        <w:fldChar w:fldCharType="end"/>
      </w:r>
      <w:r>
        <w:t>.</w:t>
      </w:r>
    </w:p>
    <w:p w14:paraId="58F95780" w14:textId="77777777" w:rsidR="008C70D3" w:rsidRDefault="008C70D3" w:rsidP="008C70D3">
      <w:pPr>
        <w:ind w:left="0" w:firstLine="0"/>
      </w:pPr>
    </w:p>
    <w:p w14:paraId="709EB146" w14:textId="7DDA20C1" w:rsidR="00A429E2" w:rsidRDefault="00A429E2" w:rsidP="008C70D3">
      <w:pPr>
        <w:pStyle w:val="Lijstalinea"/>
        <w:numPr>
          <w:ilvl w:val="1"/>
          <w:numId w:val="7"/>
        </w:numPr>
      </w:pPr>
      <w:r>
        <w:t>&lt;</w:t>
      </w:r>
      <w:r>
        <w:rPr>
          <w:b/>
          <w:i/>
          <w:u w:val="single"/>
        </w:rPr>
        <w:t>OPTIONAL</w:t>
      </w:r>
      <w:r>
        <w:t>&gt; The Counterparty will provide security for this amount by means of a bank guarantee (Bank Guarantee Schedule).</w:t>
      </w:r>
    </w:p>
    <w:p w14:paraId="34277623" w14:textId="77777777" w:rsidR="00D651D8" w:rsidRPr="00802857" w:rsidRDefault="00D651D8" w:rsidP="00D651D8"/>
    <w:p w14:paraId="1303BA3A" w14:textId="77777777" w:rsidR="00A429E2" w:rsidRPr="00E877CE" w:rsidRDefault="00A429E2" w:rsidP="00E877CE">
      <w:pPr>
        <w:pStyle w:val="Lijstalinea"/>
        <w:numPr>
          <w:ilvl w:val="0"/>
          <w:numId w:val="7"/>
        </w:numPr>
        <w:spacing w:before="240"/>
        <w:ind w:left="573" w:hanging="573"/>
        <w:rPr>
          <w:b/>
          <w:bCs/>
        </w:rPr>
      </w:pPr>
      <w:r>
        <w:rPr>
          <w:b/>
          <w:bCs/>
        </w:rPr>
        <w:t>General and special terms and conditions</w:t>
      </w:r>
    </w:p>
    <w:p w14:paraId="110BF6D9" w14:textId="77777777" w:rsidR="00A429E2" w:rsidRPr="00802857" w:rsidRDefault="00A429E2" w:rsidP="008C70D3">
      <w:pPr>
        <w:pStyle w:val="Lijstalinea"/>
        <w:numPr>
          <w:ilvl w:val="1"/>
          <w:numId w:val="7"/>
        </w:numPr>
      </w:pPr>
      <w:r>
        <w:t>Any general and special terms and conditions of the Counterparty or of third parties used by the Counterparty in performing the contractual obligations in relation to the Deliverable do not apply.</w:t>
      </w:r>
    </w:p>
    <w:p w14:paraId="1309AA04" w14:textId="77777777" w:rsidR="00A429E2" w:rsidRPr="00802857" w:rsidRDefault="00A429E2" w:rsidP="009E749D"/>
    <w:p w14:paraId="74CC245B" w14:textId="3C4BAD25" w:rsidR="00A429E2" w:rsidRDefault="00A429E2" w:rsidP="008C70D3">
      <w:pPr>
        <w:pStyle w:val="Lijstalinea"/>
        <w:numPr>
          <w:ilvl w:val="1"/>
          <w:numId w:val="7"/>
        </w:numPr>
      </w:pPr>
      <w:r>
        <w:t>A copy of the Terms and Conditions is appended to the Contract.</w:t>
      </w:r>
    </w:p>
    <w:p w14:paraId="3E3E3630" w14:textId="77777777" w:rsidR="00D651D8" w:rsidRPr="00802857" w:rsidRDefault="00D651D8" w:rsidP="00D651D8"/>
    <w:p w14:paraId="78495939" w14:textId="77777777" w:rsidR="00667EAE" w:rsidRPr="00667EAE" w:rsidRDefault="00A429E2" w:rsidP="00667EAE">
      <w:pPr>
        <w:pStyle w:val="Lijstalinea"/>
        <w:numPr>
          <w:ilvl w:val="0"/>
          <w:numId w:val="7"/>
        </w:numPr>
        <w:spacing w:before="240"/>
        <w:ind w:left="573" w:hanging="573"/>
      </w:pPr>
      <w:r>
        <w:rPr>
          <w:b/>
          <w:bCs/>
        </w:rPr>
        <w:t>Other provisions</w:t>
      </w:r>
    </w:p>
    <w:p w14:paraId="2F3F103E" w14:textId="4C27BCCE" w:rsidR="0092583A" w:rsidRDefault="00456130" w:rsidP="00667EAE">
      <w:pPr>
        <w:spacing w:before="240"/>
      </w:pPr>
      <w:r>
        <w:t>9.1</w:t>
      </w:r>
      <w:r>
        <w:tab/>
        <w:t xml:space="preserve">The duty of secrecy laid down in article 17 of the </w:t>
      </w:r>
      <w:r w:rsidR="00E93599">
        <w:t>ARBIT-2022</w:t>
      </w:r>
      <w:r>
        <w:t xml:space="preserve"> does not extend to information about (the progress of) the Public Service Contract that the Contracting Authority needs to supply for the Central Government ICT Dashboard.</w:t>
      </w:r>
    </w:p>
    <w:p w14:paraId="215EDC8A" w14:textId="77777777" w:rsidR="0092583A" w:rsidRDefault="0092583A" w:rsidP="0092583A"/>
    <w:p w14:paraId="4F3F4E95" w14:textId="5BCA6FDC" w:rsidR="0092583A" w:rsidRPr="00E76E8B" w:rsidRDefault="00456130" w:rsidP="00B80542">
      <w:pPr>
        <w:suppressAutoHyphens/>
        <w:overflowPunct w:val="0"/>
        <w:autoSpaceDE w:val="0"/>
        <w:autoSpaceDN w:val="0"/>
        <w:adjustRightInd w:val="0"/>
        <w:textAlignment w:val="baseline"/>
        <w:rPr>
          <w:rFonts w:eastAsia="Times New Roman" w:cs="Arial"/>
        </w:rPr>
      </w:pPr>
      <w:r>
        <w:t>9.2</w:t>
      </w:r>
      <w:r>
        <w:tab/>
        <w:t>&lt;</w:t>
      </w:r>
      <w:r>
        <w:rPr>
          <w:b/>
          <w:i/>
          <w:u w:val="single"/>
        </w:rPr>
        <w:t>OPTIONAL</w:t>
      </w:r>
      <w:r>
        <w:t xml:space="preserve">&gt; Articles 22.1, 22.2 and 22.4 of the </w:t>
      </w:r>
      <w:r w:rsidR="00E93599">
        <w:t>ARBIT-2022</w:t>
      </w:r>
      <w:r>
        <w:t xml:space="preserve"> do not apply. The Counterparty may replace persons charged with performing the Contract. The Contracting Authority may not refuse the replacements. </w:t>
      </w:r>
    </w:p>
    <w:p w14:paraId="4AB689AA" w14:textId="77777777" w:rsidR="0092583A" w:rsidRPr="00E76E8B" w:rsidRDefault="0092583A" w:rsidP="0092583A"/>
    <w:p w14:paraId="57CC08F0" w14:textId="77777777" w:rsidR="0092583A" w:rsidRPr="00E76E8B" w:rsidRDefault="00456130" w:rsidP="0092583A">
      <w:pPr>
        <w:suppressAutoHyphens/>
        <w:overflowPunct w:val="0"/>
        <w:autoSpaceDE w:val="0"/>
        <w:autoSpaceDN w:val="0"/>
        <w:adjustRightInd w:val="0"/>
        <w:textAlignment w:val="baseline"/>
        <w:rPr>
          <w:rFonts w:eastAsia="Times New Roman" w:cs="Arial"/>
        </w:rPr>
      </w:pPr>
      <w:r>
        <w:t>9.3</w:t>
      </w:r>
      <w:r>
        <w:tab/>
        <w:t>&lt;</w:t>
      </w:r>
      <w:r>
        <w:rPr>
          <w:b/>
          <w:i/>
          <w:u w:val="single"/>
        </w:rPr>
        <w:t>OPTIONAL</w:t>
      </w:r>
      <w:r>
        <w:t xml:space="preserve">&gt; The Parties agree, as the occasion arises, to exclude application of the deemed employment relationship of homeworkers or persons treated as such as referred to in articles 2b and 2c of the Salaries Tax Implementation Decree 1965 and articles 1 and 5 of the Working Relationship (Designation as Employment) Decree (Decree of 24 December 1986, Bulletin of Acts and Decrees 1986, no. 655). </w:t>
      </w:r>
    </w:p>
    <w:p w14:paraId="497FB248" w14:textId="77777777" w:rsidR="0092583A" w:rsidRDefault="0092583A" w:rsidP="0092583A">
      <w:pPr>
        <w:rPr>
          <w:b/>
          <w:bCs/>
          <w:i/>
          <w:iCs/>
        </w:rPr>
      </w:pPr>
    </w:p>
    <w:p w14:paraId="42E75EDB" w14:textId="48F042A1" w:rsidR="0092583A" w:rsidRPr="00B83997" w:rsidRDefault="00456130" w:rsidP="0092583A">
      <w:r>
        <w:t>9.4</w:t>
      </w:r>
      <w:r>
        <w:rPr>
          <w:b/>
          <w:bCs/>
          <w:i/>
          <w:iCs/>
        </w:rPr>
        <w:tab/>
      </w:r>
      <w:r>
        <w:rPr>
          <w:i/>
          <w:iCs/>
          <w:u w:val="single"/>
        </w:rPr>
        <w:t>&lt;</w:t>
      </w:r>
      <w:r>
        <w:rPr>
          <w:b/>
          <w:bCs/>
          <w:i/>
          <w:iCs/>
          <w:u w:val="single"/>
        </w:rPr>
        <w:t>OPTIONAL</w:t>
      </w:r>
      <w:r>
        <w:rPr>
          <w:i/>
          <w:iCs/>
          <w:u w:val="single"/>
        </w:rPr>
        <w:t>&gt;</w:t>
      </w:r>
      <w:r>
        <w:rPr>
          <w:b/>
          <w:bCs/>
          <w:i/>
          <w:iCs/>
        </w:rPr>
        <w:t xml:space="preserve"> </w:t>
      </w:r>
      <w:r>
        <w:t>The Counterparty will [erase or return] the data within [number] [days/weeks] after the end of the Contract, or earlier as agreed, failing which the Counterparty will be owe penalty of €[amount] per day, up to a maximum of €[amount]. Payment of the penalty does not affect the Counterparty’s obligation under this paragraph and its liability for compensating any loss caused by the breach.</w:t>
      </w:r>
    </w:p>
    <w:p w14:paraId="412EC436" w14:textId="3B0C3DA9" w:rsidR="0092583A" w:rsidRPr="00B83997" w:rsidRDefault="0092583A" w:rsidP="00541B7A">
      <w:pPr>
        <w:ind w:left="0" w:firstLine="0"/>
        <w:rPr>
          <w:rFonts w:eastAsia="Times New Roman"/>
        </w:rPr>
      </w:pPr>
    </w:p>
    <w:p w14:paraId="3A2A1E7D" w14:textId="67D376E9" w:rsidR="0092583A" w:rsidRPr="00B83997" w:rsidRDefault="00AE52A2" w:rsidP="0092583A">
      <w:pPr>
        <w:rPr>
          <w:rFonts w:eastAsia="Times New Roman"/>
        </w:rPr>
      </w:pPr>
      <w:r>
        <w:t>9.5</w:t>
      </w:r>
      <w:r>
        <w:tab/>
      </w:r>
      <w:r>
        <w:rPr>
          <w:i/>
          <w:iCs/>
          <w:u w:val="single"/>
        </w:rPr>
        <w:t>&lt;</w:t>
      </w:r>
      <w:r>
        <w:rPr>
          <w:b/>
          <w:bCs/>
          <w:i/>
          <w:iCs/>
          <w:u w:val="single"/>
        </w:rPr>
        <w:t>OPTIONAL</w:t>
      </w:r>
      <w:r>
        <w:rPr>
          <w:i/>
          <w:iCs/>
          <w:u w:val="single"/>
        </w:rPr>
        <w:t>&gt;</w:t>
      </w:r>
      <w:r>
        <w:t xml:space="preserve"> The data will be returned in the format and manner stipulated by the Contracting Authority.</w:t>
      </w:r>
    </w:p>
    <w:p w14:paraId="7CE07733" w14:textId="77777777" w:rsidR="0092583A" w:rsidRPr="00B83997" w:rsidRDefault="0092583A" w:rsidP="0092583A">
      <w:pPr>
        <w:rPr>
          <w:rFonts w:eastAsia="Times New Roman"/>
        </w:rPr>
      </w:pPr>
    </w:p>
    <w:p w14:paraId="4A49DEE8" w14:textId="77777777" w:rsidR="0092583A" w:rsidRPr="00B83997" w:rsidRDefault="0092583A" w:rsidP="00D651D8">
      <w:pPr>
        <w:ind w:firstLine="0"/>
        <w:rPr>
          <w:rFonts w:eastAsia="Times New Roman"/>
        </w:rPr>
      </w:pPr>
      <w:r>
        <w:rPr>
          <w:b/>
          <w:bCs/>
        </w:rPr>
        <w:t>OR</w:t>
      </w:r>
    </w:p>
    <w:p w14:paraId="0EF93C08" w14:textId="77777777" w:rsidR="0092583A" w:rsidRPr="006B33C9" w:rsidRDefault="0092583A" w:rsidP="0092583A">
      <w:pPr>
        <w:rPr>
          <w:rFonts w:asciiTheme="majorHAnsi" w:eastAsia="Times New Roman" w:hAnsiTheme="majorHAnsi"/>
        </w:rPr>
      </w:pPr>
    </w:p>
    <w:p w14:paraId="4D9553EF" w14:textId="751D6E08" w:rsidR="00851990" w:rsidRPr="006B33C9" w:rsidRDefault="0092583A" w:rsidP="00D651D8">
      <w:pPr>
        <w:pStyle w:val="Lijstalinea"/>
        <w:numPr>
          <w:ilvl w:val="1"/>
          <w:numId w:val="34"/>
        </w:numPr>
        <w:ind w:left="567" w:hanging="567"/>
        <w:rPr>
          <w:rFonts w:asciiTheme="minorHAnsi" w:eastAsia="Times New Roman" w:hAnsiTheme="minorHAnsi"/>
        </w:rPr>
      </w:pPr>
      <w:r>
        <w:rPr>
          <w:rFonts w:asciiTheme="majorHAnsi" w:hAnsiTheme="majorHAnsi"/>
          <w:i/>
          <w:iCs/>
          <w:u w:val="single"/>
        </w:rPr>
        <w:t>&lt;</w:t>
      </w:r>
      <w:r>
        <w:rPr>
          <w:rFonts w:asciiTheme="majorHAnsi" w:hAnsiTheme="majorHAnsi"/>
          <w:b/>
          <w:bCs/>
          <w:i/>
          <w:iCs/>
          <w:u w:val="single"/>
        </w:rPr>
        <w:t>OPTIONAL</w:t>
      </w:r>
      <w:r>
        <w:rPr>
          <w:rFonts w:asciiTheme="majorHAnsi" w:hAnsiTheme="majorHAnsi"/>
          <w:i/>
          <w:iCs/>
          <w:u w:val="single"/>
        </w:rPr>
        <w:t>&gt;</w:t>
      </w:r>
      <w:r>
        <w:rPr>
          <w:rFonts w:asciiTheme="majorHAnsi" w:hAnsiTheme="majorHAnsi"/>
        </w:rPr>
        <w:t xml:space="preserve"> </w:t>
      </w:r>
      <w:r>
        <w:rPr>
          <w:rFonts w:asciiTheme="minorHAnsi" w:hAnsiTheme="minorHAnsi"/>
        </w:rPr>
        <w:t>The data will be returned as follows: [file format] [manner in which it is to be returned, specifying security measures] [address].</w:t>
      </w:r>
    </w:p>
    <w:p w14:paraId="05132A16" w14:textId="77777777" w:rsidR="00E40EE4" w:rsidRPr="006B33C9" w:rsidRDefault="00E40EE4" w:rsidP="00E40EE4">
      <w:pPr>
        <w:ind w:left="0" w:firstLine="0"/>
        <w:rPr>
          <w:rFonts w:asciiTheme="majorHAnsi" w:eastAsia="Times New Roman" w:hAnsiTheme="majorHAnsi"/>
        </w:rPr>
      </w:pPr>
    </w:p>
    <w:p w14:paraId="4B9FC2BB" w14:textId="1ED01D7B" w:rsidR="00E40EE4" w:rsidRPr="00010B1E" w:rsidRDefault="00E40EE4" w:rsidP="00D651D8">
      <w:pPr>
        <w:pStyle w:val="Tekstopmerking"/>
        <w:numPr>
          <w:ilvl w:val="1"/>
          <w:numId w:val="34"/>
        </w:numPr>
        <w:ind w:left="567" w:hanging="567"/>
        <w:rPr>
          <w:rFonts w:asciiTheme="majorHAnsi" w:eastAsia="Times New Roman" w:hAnsiTheme="majorHAnsi"/>
          <w:iCs/>
        </w:rPr>
      </w:pPr>
      <w:r>
        <w:rPr>
          <w:rFonts w:asciiTheme="majorHAnsi" w:hAnsiTheme="majorHAnsi"/>
          <w:bCs/>
          <w:i/>
          <w:iCs/>
          <w:sz w:val="18"/>
          <w:szCs w:val="18"/>
          <w:u w:val="single"/>
        </w:rPr>
        <w:t>&lt;</w:t>
      </w:r>
      <w:r>
        <w:rPr>
          <w:rFonts w:asciiTheme="majorHAnsi" w:hAnsiTheme="majorHAnsi"/>
          <w:b/>
          <w:bCs/>
          <w:i/>
          <w:iCs/>
          <w:sz w:val="18"/>
          <w:szCs w:val="18"/>
          <w:u w:val="single"/>
        </w:rPr>
        <w:t>OPTIONAL</w:t>
      </w:r>
      <w:r>
        <w:rPr>
          <w:rFonts w:asciiTheme="majorHAnsi" w:hAnsiTheme="majorHAnsi"/>
          <w:bCs/>
          <w:i/>
          <w:iCs/>
          <w:sz w:val="18"/>
          <w:szCs w:val="18"/>
          <w:u w:val="single"/>
        </w:rPr>
        <w:t>&gt;</w:t>
      </w:r>
      <w:r>
        <w:rPr>
          <w:rFonts w:asciiTheme="majorHAnsi" w:hAnsiTheme="majorHAnsi"/>
          <w:sz w:val="18"/>
          <w:szCs w:val="18"/>
        </w:rPr>
        <w:t xml:space="preserve"> </w:t>
      </w:r>
      <w:r>
        <w:rPr>
          <w:rFonts w:ascii="Verdana" w:hAnsi="Verdana"/>
          <w:sz w:val="18"/>
          <w:szCs w:val="18"/>
        </w:rPr>
        <w:t xml:space="preserve">Upon (early) termination of the Contract, the provisions of the Exit Arrangements Schedule apply in addition to article 32 of the </w:t>
      </w:r>
      <w:r w:rsidR="00E93599">
        <w:rPr>
          <w:rFonts w:ascii="Verdana" w:hAnsi="Verdana"/>
          <w:sz w:val="18"/>
          <w:szCs w:val="18"/>
        </w:rPr>
        <w:t>ARBIT-2022</w:t>
      </w:r>
      <w:r>
        <w:rPr>
          <w:rFonts w:ascii="Verdana" w:hAnsi="Verdana"/>
          <w:sz w:val="18"/>
          <w:szCs w:val="18"/>
        </w:rPr>
        <w:t>.</w:t>
      </w:r>
    </w:p>
    <w:p w14:paraId="0A2A03EA" w14:textId="68D925C6" w:rsidR="006942BB" w:rsidRPr="00E93599" w:rsidRDefault="00D15898" w:rsidP="00E93599">
      <w:pPr>
        <w:pStyle w:val="Lijstalinea"/>
        <w:numPr>
          <w:ilvl w:val="1"/>
          <w:numId w:val="34"/>
        </w:numPr>
        <w:ind w:left="567" w:hanging="567"/>
        <w:rPr>
          <w:rFonts w:eastAsia="Times New Roman" w:cs="Times New Roman"/>
        </w:rPr>
      </w:pPr>
      <w:r>
        <w:rPr>
          <w:rFonts w:asciiTheme="minorHAnsi" w:hAnsiTheme="minorHAnsi"/>
          <w:bCs/>
          <w:u w:val="single"/>
        </w:rPr>
        <w:t>&lt;</w:t>
      </w:r>
      <w:r>
        <w:rPr>
          <w:rFonts w:asciiTheme="minorHAnsi" w:hAnsiTheme="minorHAnsi"/>
          <w:b/>
          <w:i/>
          <w:u w:val="single"/>
        </w:rPr>
        <w:t>OPTIONAL</w:t>
      </w:r>
      <w:r>
        <w:rPr>
          <w:rFonts w:asciiTheme="minorHAnsi" w:hAnsiTheme="minorHAnsi"/>
          <w:b/>
          <w:i/>
        </w:rPr>
        <w:t xml:space="preserve"> </w:t>
      </w:r>
      <w:r>
        <w:rPr>
          <w:rFonts w:asciiTheme="minorHAnsi" w:hAnsiTheme="minorHAnsi"/>
          <w:i/>
        </w:rPr>
        <w:t>in the case of the delivery of an</w:t>
      </w:r>
      <w:r>
        <w:rPr>
          <w:i/>
        </w:rPr>
        <w:t xml:space="preserve"> AI system that poses a high risk to individuals’ health and safety or fundamental rights</w:t>
      </w:r>
      <w:r>
        <w:rPr>
          <w:i/>
          <w:iCs/>
        </w:rPr>
        <w:t>&gt;</w:t>
      </w:r>
      <w:r>
        <w:rPr>
          <w:b/>
          <w:bCs/>
          <w:i/>
          <w:iCs/>
        </w:rPr>
        <w:t xml:space="preserve"> </w:t>
      </w:r>
      <w:r>
        <w:t>If the Deliverable consists in part of the delivery of an AI system that poses a high risk to individuals’ health and safety or fundamental rights, the provisions of the AI Schedule [to be agreed] apply in regard to it.</w:t>
      </w:r>
      <w:r>
        <w:br/>
      </w:r>
    </w:p>
    <w:p w14:paraId="4434D339" w14:textId="0EFBDB6C" w:rsidR="00E40EE4" w:rsidRPr="00D651D8" w:rsidRDefault="0092583A" w:rsidP="00D651D8">
      <w:pPr>
        <w:pStyle w:val="Tekstopmerking"/>
        <w:numPr>
          <w:ilvl w:val="1"/>
          <w:numId w:val="34"/>
        </w:numPr>
        <w:ind w:left="567" w:hanging="567"/>
        <w:rPr>
          <w:rFonts w:asciiTheme="minorHAnsi" w:hAnsiTheme="minorHAnsi"/>
          <w:b/>
          <w:sz w:val="18"/>
          <w:szCs w:val="18"/>
        </w:rPr>
      </w:pPr>
      <w:r>
        <w:rPr>
          <w:rFonts w:asciiTheme="minorHAnsi" w:hAnsiTheme="minorHAnsi"/>
          <w:i/>
          <w:sz w:val="18"/>
          <w:szCs w:val="18"/>
          <w:u w:val="single"/>
        </w:rPr>
        <w:t>&lt;</w:t>
      </w:r>
      <w:r>
        <w:rPr>
          <w:rFonts w:asciiTheme="minorHAnsi" w:hAnsiTheme="minorHAnsi"/>
          <w:b/>
          <w:bCs/>
          <w:i/>
          <w:sz w:val="18"/>
          <w:szCs w:val="18"/>
          <w:u w:val="single"/>
        </w:rPr>
        <w:t>OPTIONAL</w:t>
      </w:r>
      <w:r>
        <w:rPr>
          <w:rFonts w:asciiTheme="minorHAnsi" w:hAnsiTheme="minorHAnsi"/>
          <w:i/>
          <w:sz w:val="18"/>
          <w:szCs w:val="18"/>
          <w:u w:val="single"/>
        </w:rPr>
        <w:t>&gt;</w:t>
      </w:r>
      <w:r>
        <w:rPr>
          <w:rFonts w:asciiTheme="minorHAnsi" w:hAnsiTheme="minorHAnsi"/>
          <w:b/>
          <w:bCs/>
          <w:iCs/>
          <w:sz w:val="18"/>
          <w:szCs w:val="18"/>
        </w:rPr>
        <w:t xml:space="preserve"> </w:t>
      </w:r>
      <w:r>
        <w:rPr>
          <w:rFonts w:asciiTheme="minorHAnsi" w:hAnsiTheme="minorHAnsi"/>
          <w:bCs/>
          <w:iCs/>
          <w:sz w:val="18"/>
          <w:szCs w:val="18"/>
        </w:rPr>
        <w:t xml:space="preserve">The term ‘in writing’ in articles 3, 12.3 and 31 of the </w:t>
      </w:r>
      <w:r w:rsidR="00E93599">
        <w:rPr>
          <w:rFonts w:asciiTheme="minorHAnsi" w:hAnsiTheme="minorHAnsi"/>
          <w:bCs/>
          <w:iCs/>
          <w:sz w:val="18"/>
          <w:szCs w:val="18"/>
        </w:rPr>
        <w:t>ARBIT-2022</w:t>
      </w:r>
      <w:r>
        <w:rPr>
          <w:rFonts w:asciiTheme="minorHAnsi" w:hAnsiTheme="minorHAnsi"/>
          <w:bCs/>
          <w:iCs/>
          <w:sz w:val="18"/>
          <w:szCs w:val="18"/>
        </w:rPr>
        <w:t xml:space="preserve"> also includes electronic communication[.] </w:t>
      </w:r>
      <w:r>
        <w:rPr>
          <w:rFonts w:asciiTheme="minorHAnsi" w:hAnsiTheme="minorHAnsi"/>
          <w:i/>
          <w:iCs/>
          <w:sz w:val="18"/>
          <w:szCs w:val="18"/>
        </w:rPr>
        <w:t>&lt;</w:t>
      </w:r>
      <w:r>
        <w:rPr>
          <w:rFonts w:asciiTheme="minorHAnsi" w:hAnsiTheme="minorHAnsi"/>
          <w:b/>
          <w:bCs/>
          <w:i/>
          <w:iCs/>
          <w:sz w:val="18"/>
          <w:szCs w:val="18"/>
          <w:u w:val="single"/>
        </w:rPr>
        <w:t>OPTIONAL</w:t>
      </w:r>
      <w:r>
        <w:rPr>
          <w:rFonts w:asciiTheme="minorHAnsi" w:hAnsiTheme="minorHAnsi"/>
          <w:i/>
          <w:iCs/>
          <w:sz w:val="18"/>
          <w:szCs w:val="18"/>
        </w:rPr>
        <w:t>&gt;</w:t>
      </w:r>
      <w:r>
        <w:rPr>
          <w:rFonts w:asciiTheme="minorHAnsi" w:hAnsiTheme="minorHAnsi"/>
          <w:bCs/>
          <w:iCs/>
          <w:sz w:val="18"/>
          <w:szCs w:val="18"/>
        </w:rPr>
        <w:t xml:space="preserve"> provided that the communication fulfils the following requirements:[……].</w:t>
      </w:r>
    </w:p>
    <w:p w14:paraId="4DB86248" w14:textId="63BDCFBA" w:rsidR="00667EAE" w:rsidRPr="00E40EE4" w:rsidRDefault="00667EAE" w:rsidP="00D651D8">
      <w:pPr>
        <w:pStyle w:val="Lijstalinea"/>
        <w:numPr>
          <w:ilvl w:val="1"/>
          <w:numId w:val="34"/>
        </w:numPr>
        <w:ind w:left="567" w:hanging="567"/>
        <w:rPr>
          <w:rFonts w:eastAsia="Times New Roman"/>
        </w:rPr>
      </w:pPr>
      <w:r>
        <w:t>&lt;</w:t>
      </w:r>
      <w:r>
        <w:rPr>
          <w:b/>
          <w:i/>
          <w:u w:val="single"/>
        </w:rPr>
        <w:t>OPTIONAL</w:t>
      </w:r>
      <w:r>
        <w:t xml:space="preserve"> ….&gt;.</w:t>
      </w:r>
    </w:p>
    <w:p w14:paraId="359F529A" w14:textId="77777777" w:rsidR="00667EAE" w:rsidRDefault="00667EAE" w:rsidP="00667EAE">
      <w:pPr>
        <w:ind w:left="0" w:firstLine="0"/>
      </w:pPr>
    </w:p>
    <w:p w14:paraId="69148FCE" w14:textId="6D8B11E4" w:rsidR="00A429E2" w:rsidRDefault="00A429E2" w:rsidP="00E93599">
      <w:pPr>
        <w:ind w:left="0" w:firstLine="0"/>
      </w:pPr>
    </w:p>
    <w:p w14:paraId="0B3A466D" w14:textId="77777777" w:rsidR="00E93599" w:rsidRPr="00802857" w:rsidRDefault="00E93599" w:rsidP="00E93599">
      <w:pPr>
        <w:ind w:left="0" w:firstLine="0"/>
      </w:pPr>
    </w:p>
    <w:p w14:paraId="54DDCE97" w14:textId="77777777" w:rsidR="00A429E2" w:rsidRPr="00802857" w:rsidRDefault="00A429E2" w:rsidP="009E749D"/>
    <w:p w14:paraId="5C4B6141" w14:textId="77777777" w:rsidR="00A429E2" w:rsidRPr="00802857" w:rsidRDefault="00A429E2" w:rsidP="009E749D">
      <w:r>
        <w:t xml:space="preserve">Done on </w:t>
      </w:r>
      <w:r>
        <w:rPr>
          <w:color w:val="808080" w:themeColor="background1" w:themeShade="80"/>
        </w:rPr>
        <w:t>&lt;date&gt;</w:t>
      </w:r>
      <w:r>
        <w:t xml:space="preserve"> and signed in duplicate by:</w:t>
      </w:r>
    </w:p>
    <w:p w14:paraId="4921BC78" w14:textId="77777777" w:rsidR="00A429E2" w:rsidRPr="00802857" w:rsidRDefault="00A429E2" w:rsidP="009E749D"/>
    <w:tbl>
      <w:tblPr>
        <w:tblpPr w:leftFromText="180" w:rightFromText="180" w:bottomFromText="160" w:vertAnchor="text" w:horzAnchor="margin" w:tblpY="37"/>
        <w:tblW w:w="0" w:type="auto"/>
        <w:tblLayout w:type="fixed"/>
        <w:tblLook w:val="04A0" w:firstRow="1" w:lastRow="0" w:firstColumn="1" w:lastColumn="0" w:noHBand="0" w:noVBand="1"/>
      </w:tblPr>
      <w:tblGrid>
        <w:gridCol w:w="3836"/>
        <w:gridCol w:w="3988"/>
      </w:tblGrid>
      <w:tr w:rsidR="00A429E2" w:rsidRPr="00802857" w14:paraId="299C241E" w14:textId="77777777" w:rsidTr="00A429E2">
        <w:trPr>
          <w:trHeight w:val="290"/>
        </w:trPr>
        <w:tc>
          <w:tcPr>
            <w:tcW w:w="3836" w:type="dxa"/>
            <w:hideMark/>
          </w:tcPr>
          <w:p w14:paraId="2E481BE4" w14:textId="77777777" w:rsidR="00A429E2" w:rsidRPr="00802857" w:rsidRDefault="00A429E2" w:rsidP="009E749D">
            <w:r>
              <w:lastRenderedPageBreak/>
              <w:t>FOR THE CONTRACTING AUTHORITY</w:t>
            </w:r>
            <w:r>
              <w:tab/>
            </w:r>
            <w:r>
              <w:tab/>
            </w:r>
            <w:r>
              <w:tab/>
            </w:r>
            <w:r>
              <w:tab/>
            </w:r>
            <w:r>
              <w:tab/>
            </w:r>
            <w:r>
              <w:tab/>
            </w:r>
          </w:p>
        </w:tc>
        <w:tc>
          <w:tcPr>
            <w:tcW w:w="3988" w:type="dxa"/>
            <w:hideMark/>
          </w:tcPr>
          <w:p w14:paraId="1F62BA92" w14:textId="77777777" w:rsidR="00A429E2" w:rsidRPr="00802857" w:rsidRDefault="00A429E2" w:rsidP="009E749D">
            <w:r>
              <w:t>FOR THE COUNTERPARTY</w:t>
            </w:r>
          </w:p>
        </w:tc>
      </w:tr>
      <w:tr w:rsidR="00A429E2" w:rsidRPr="00802857" w14:paraId="299315B1" w14:textId="77777777" w:rsidTr="00A429E2">
        <w:trPr>
          <w:trHeight w:val="155"/>
        </w:trPr>
        <w:tc>
          <w:tcPr>
            <w:tcW w:w="3836" w:type="dxa"/>
            <w:hideMark/>
          </w:tcPr>
          <w:p w14:paraId="66226BC3" w14:textId="77777777" w:rsidR="00A429E2" w:rsidRPr="00802857" w:rsidRDefault="00A429E2" w:rsidP="009E749D">
            <w:r>
              <w:t xml:space="preserve">Name: </w:t>
            </w:r>
            <w:r>
              <w:rPr>
                <w:color w:val="808080" w:themeColor="background1" w:themeShade="80"/>
              </w:rPr>
              <w:t>&lt;name&gt;</w:t>
            </w:r>
          </w:p>
        </w:tc>
        <w:tc>
          <w:tcPr>
            <w:tcW w:w="3988" w:type="dxa"/>
            <w:hideMark/>
          </w:tcPr>
          <w:p w14:paraId="518D0203" w14:textId="77777777" w:rsidR="00A429E2" w:rsidRPr="00802857" w:rsidRDefault="00A429E2" w:rsidP="009E749D">
            <w:r>
              <w:t xml:space="preserve">Name: </w:t>
            </w:r>
            <w:r>
              <w:rPr>
                <w:color w:val="808080" w:themeColor="background1" w:themeShade="80"/>
              </w:rPr>
              <w:t>&lt;name&gt;</w:t>
            </w:r>
          </w:p>
        </w:tc>
      </w:tr>
      <w:tr w:rsidR="00A429E2" w:rsidRPr="00802857" w14:paraId="2E05A3E9" w14:textId="77777777" w:rsidTr="00A429E2">
        <w:trPr>
          <w:trHeight w:val="145"/>
        </w:trPr>
        <w:tc>
          <w:tcPr>
            <w:tcW w:w="3836" w:type="dxa"/>
          </w:tcPr>
          <w:p w14:paraId="0AB3F0A9" w14:textId="77777777" w:rsidR="00A429E2" w:rsidRPr="00802857" w:rsidRDefault="00A429E2" w:rsidP="009E749D"/>
          <w:p w14:paraId="34243034" w14:textId="0C4DD0F4" w:rsidR="00A429E2" w:rsidRPr="00802857" w:rsidRDefault="00A429E2" w:rsidP="009E749D"/>
        </w:tc>
        <w:tc>
          <w:tcPr>
            <w:tcW w:w="3988" w:type="dxa"/>
          </w:tcPr>
          <w:p w14:paraId="6B5A0631" w14:textId="77777777" w:rsidR="00A429E2" w:rsidRPr="00802857" w:rsidRDefault="00A429E2" w:rsidP="009E749D"/>
          <w:p w14:paraId="77AC74B1" w14:textId="2CB05107" w:rsidR="00A429E2" w:rsidRPr="00802857" w:rsidRDefault="00A429E2" w:rsidP="009E749D"/>
        </w:tc>
      </w:tr>
      <w:tr w:rsidR="00A429E2" w:rsidRPr="00802857" w14:paraId="69FC41E7" w14:textId="77777777" w:rsidTr="00A429E2">
        <w:trPr>
          <w:trHeight w:val="145"/>
        </w:trPr>
        <w:tc>
          <w:tcPr>
            <w:tcW w:w="3836" w:type="dxa"/>
          </w:tcPr>
          <w:p w14:paraId="296DF3FE" w14:textId="77777777" w:rsidR="00A429E2" w:rsidRPr="00802857" w:rsidRDefault="00A429E2" w:rsidP="009E749D"/>
          <w:p w14:paraId="7A3622A6" w14:textId="77777777" w:rsidR="00A429E2" w:rsidRPr="00802857" w:rsidRDefault="00A429E2" w:rsidP="009E749D"/>
          <w:p w14:paraId="09DC302C" w14:textId="77777777" w:rsidR="00A429E2" w:rsidRPr="00802857" w:rsidRDefault="00A429E2" w:rsidP="009E749D"/>
        </w:tc>
        <w:tc>
          <w:tcPr>
            <w:tcW w:w="3988" w:type="dxa"/>
          </w:tcPr>
          <w:p w14:paraId="5F30B0D2" w14:textId="77777777" w:rsidR="00A429E2" w:rsidRPr="00802857" w:rsidRDefault="00A429E2" w:rsidP="009E749D"/>
        </w:tc>
      </w:tr>
      <w:tr w:rsidR="00A429E2" w:rsidRPr="00802857" w14:paraId="65793BD7" w14:textId="77777777" w:rsidTr="00A429E2">
        <w:trPr>
          <w:trHeight w:val="598"/>
        </w:trPr>
        <w:tc>
          <w:tcPr>
            <w:tcW w:w="3836" w:type="dxa"/>
          </w:tcPr>
          <w:p w14:paraId="0D791E0D" w14:textId="77777777" w:rsidR="00A429E2" w:rsidRPr="00802857" w:rsidRDefault="00A429E2" w:rsidP="009E749D">
            <w:pPr>
              <w:rPr>
                <w:rFonts w:eastAsia="Times New Roman"/>
              </w:rPr>
            </w:pPr>
            <w:r>
              <w:t>Signature:</w:t>
            </w:r>
          </w:p>
          <w:p w14:paraId="7A82981C" w14:textId="77777777" w:rsidR="00A429E2" w:rsidRPr="00802857" w:rsidRDefault="00A429E2" w:rsidP="009E749D"/>
          <w:p w14:paraId="7F125DA2" w14:textId="77777777" w:rsidR="00A429E2" w:rsidRPr="00802857" w:rsidRDefault="00A429E2" w:rsidP="009E749D"/>
          <w:p w14:paraId="7E9F0C9B" w14:textId="77777777" w:rsidR="00A429E2" w:rsidRPr="00802857" w:rsidRDefault="00A429E2" w:rsidP="009E749D"/>
        </w:tc>
        <w:tc>
          <w:tcPr>
            <w:tcW w:w="3988" w:type="dxa"/>
          </w:tcPr>
          <w:p w14:paraId="36B380C8" w14:textId="77777777" w:rsidR="00A429E2" w:rsidRPr="00802857" w:rsidRDefault="00A429E2" w:rsidP="009E749D">
            <w:pPr>
              <w:rPr>
                <w:rFonts w:eastAsia="Times New Roman"/>
              </w:rPr>
            </w:pPr>
            <w:r>
              <w:t>Signature:</w:t>
            </w:r>
          </w:p>
          <w:p w14:paraId="1F6056D8" w14:textId="77777777" w:rsidR="00A429E2" w:rsidRPr="00802857" w:rsidRDefault="00A429E2" w:rsidP="009E749D"/>
          <w:p w14:paraId="4DF05C4F" w14:textId="77777777" w:rsidR="00A429E2" w:rsidRPr="00802857" w:rsidRDefault="00A429E2" w:rsidP="009E749D"/>
          <w:p w14:paraId="19121340" w14:textId="77777777" w:rsidR="00A429E2" w:rsidRPr="00802857" w:rsidRDefault="00A429E2" w:rsidP="009E749D"/>
        </w:tc>
      </w:tr>
      <w:tr w:rsidR="00A429E2" w:rsidRPr="00802857" w14:paraId="71F0CF9B" w14:textId="77777777" w:rsidTr="00A429E2">
        <w:trPr>
          <w:trHeight w:val="145"/>
        </w:trPr>
        <w:tc>
          <w:tcPr>
            <w:tcW w:w="3836" w:type="dxa"/>
            <w:hideMark/>
          </w:tcPr>
          <w:p w14:paraId="76F98CC8" w14:textId="77777777" w:rsidR="00A429E2" w:rsidRPr="00802857" w:rsidRDefault="00A429E2" w:rsidP="009E749D">
            <w:r>
              <w:t xml:space="preserve">Date: </w:t>
            </w:r>
            <w:r>
              <w:tab/>
            </w:r>
            <w:r>
              <w:tab/>
            </w:r>
            <w:r>
              <w:tab/>
              <w:t xml:space="preserve"> </w:t>
            </w:r>
          </w:p>
        </w:tc>
        <w:tc>
          <w:tcPr>
            <w:tcW w:w="3988" w:type="dxa"/>
            <w:hideMark/>
          </w:tcPr>
          <w:p w14:paraId="5E9AC127" w14:textId="77777777" w:rsidR="00A429E2" w:rsidRPr="00802857" w:rsidRDefault="00A429E2" w:rsidP="009E749D">
            <w:r>
              <w:t xml:space="preserve">Date: </w:t>
            </w:r>
            <w:r>
              <w:tab/>
            </w:r>
            <w:r>
              <w:tab/>
            </w:r>
            <w:r>
              <w:tab/>
            </w:r>
            <w:r>
              <w:tab/>
            </w:r>
            <w:r>
              <w:tab/>
              <w:t xml:space="preserve"> </w:t>
            </w:r>
          </w:p>
        </w:tc>
      </w:tr>
    </w:tbl>
    <w:p w14:paraId="3E59505D" w14:textId="77777777" w:rsidR="00A429E2" w:rsidRPr="00802857" w:rsidRDefault="00A429E2" w:rsidP="009E749D"/>
    <w:p w14:paraId="036CDEB9" w14:textId="77777777" w:rsidR="00A429E2" w:rsidRPr="00802857" w:rsidRDefault="00A429E2" w:rsidP="009E749D"/>
    <w:p w14:paraId="02A91802" w14:textId="77777777" w:rsidR="00A429E2" w:rsidRPr="00802857" w:rsidRDefault="00A429E2" w:rsidP="009E749D"/>
    <w:p w14:paraId="2C0AAC11" w14:textId="77777777" w:rsidR="00A429E2" w:rsidRPr="00802857" w:rsidRDefault="00A429E2" w:rsidP="009E749D"/>
    <w:p w14:paraId="3077C984" w14:textId="77777777" w:rsidR="00A429E2" w:rsidRPr="00802857" w:rsidRDefault="00A429E2" w:rsidP="009E749D"/>
    <w:p w14:paraId="7E7AA66A" w14:textId="77777777" w:rsidR="00A429E2" w:rsidRPr="00802857" w:rsidRDefault="00A429E2" w:rsidP="009E749D"/>
    <w:p w14:paraId="424F2C11" w14:textId="77777777" w:rsidR="00A429E2" w:rsidRPr="00802857" w:rsidRDefault="00A429E2" w:rsidP="009E749D"/>
    <w:p w14:paraId="725A4FE1" w14:textId="77777777" w:rsidR="00111BB4" w:rsidRDefault="00111BB4" w:rsidP="009E749D"/>
    <w:p w14:paraId="0DB7646D" w14:textId="77777777" w:rsidR="00111BB4" w:rsidRDefault="00111BB4" w:rsidP="009E749D"/>
    <w:p w14:paraId="4F945C79" w14:textId="77777777" w:rsidR="00111BB4" w:rsidRDefault="00111BB4" w:rsidP="009E749D"/>
    <w:p w14:paraId="09AC749D" w14:textId="77777777" w:rsidR="00111BB4" w:rsidRDefault="00111BB4" w:rsidP="009E749D"/>
    <w:p w14:paraId="380258AB" w14:textId="77777777" w:rsidR="00111BB4" w:rsidRDefault="00111BB4" w:rsidP="009E749D"/>
    <w:p w14:paraId="4D106359" w14:textId="77777777" w:rsidR="00111BB4" w:rsidRDefault="00111BB4" w:rsidP="009E749D"/>
    <w:p w14:paraId="08C03543" w14:textId="77777777" w:rsidR="00111BB4" w:rsidRDefault="00111BB4" w:rsidP="009E749D"/>
    <w:p w14:paraId="50C7FC58" w14:textId="77777777" w:rsidR="00A429E2" w:rsidRPr="00802857" w:rsidRDefault="00A429E2" w:rsidP="009E749D"/>
    <w:p w14:paraId="23288DDE" w14:textId="77777777" w:rsidR="00111BB4" w:rsidRDefault="00111BB4" w:rsidP="009E749D"/>
    <w:p w14:paraId="65D74594" w14:textId="77777777" w:rsidR="00111BB4" w:rsidRDefault="00111BB4" w:rsidP="009E749D"/>
    <w:p w14:paraId="7383B894" w14:textId="2E7ABD3D" w:rsidR="00111BB4" w:rsidRDefault="00111BB4" w:rsidP="00891ECD">
      <w:pPr>
        <w:ind w:left="0" w:firstLine="0"/>
      </w:pPr>
    </w:p>
    <w:p w14:paraId="66754916" w14:textId="49C93DAA" w:rsidR="00A2570B" w:rsidRDefault="00A2570B" w:rsidP="00D651D8">
      <w:r>
        <w:br w:type="page"/>
      </w:r>
    </w:p>
    <w:p w14:paraId="3C81BE8A" w14:textId="71A09616" w:rsidR="002F7E5F" w:rsidRDefault="002F7E5F" w:rsidP="00B46877">
      <w:pPr>
        <w:pStyle w:val="Kop1"/>
      </w:pPr>
      <w:bookmarkStart w:id="2" w:name="_Toc130542955"/>
      <w:r>
        <w:lastRenderedPageBreak/>
        <w:t xml:space="preserve">Schedule: Dutch Scrum Guide on </w:t>
      </w:r>
      <w:hyperlink r:id="rId8" w:history="1">
        <w:r>
          <w:rPr>
            <w:rStyle w:val="Hyperlink"/>
          </w:rPr>
          <w:t>method and practices</w:t>
        </w:r>
        <w:bookmarkEnd w:id="2"/>
      </w:hyperlink>
    </w:p>
    <w:p w14:paraId="58777D09" w14:textId="77777777" w:rsidR="00C46271" w:rsidRPr="00E76E8B" w:rsidRDefault="00C46271" w:rsidP="00D51607">
      <w:pPr>
        <w:pStyle w:val="Kop1"/>
      </w:pPr>
      <w:bookmarkStart w:id="3" w:name="_Toc130542956"/>
      <w:r>
        <w:t>Schedule: Specifications</w:t>
      </w:r>
      <w:bookmarkEnd w:id="3"/>
    </w:p>
    <w:p w14:paraId="7F215F16" w14:textId="58B51F48" w:rsidR="00C46271" w:rsidRPr="00414A13" w:rsidRDefault="00C46271" w:rsidP="00D651D8">
      <w:pPr>
        <w:pStyle w:val="Kop1"/>
      </w:pPr>
      <w:bookmarkStart w:id="4" w:name="_Toc130542957"/>
      <w:r>
        <w:t>Schedule: Contacts</w:t>
      </w:r>
      <w:bookmarkEnd w:id="4"/>
    </w:p>
    <w:p w14:paraId="2DB32489" w14:textId="392A166F" w:rsidR="00C46271" w:rsidRPr="00D651D8" w:rsidRDefault="00C46271" w:rsidP="00D651D8">
      <w:pPr>
        <w:pStyle w:val="Kop1"/>
      </w:pPr>
      <w:bookmarkStart w:id="5" w:name="_Toc130542958"/>
      <w:r>
        <w:t>Schedule: Terms and Conditions</w:t>
      </w:r>
      <w:bookmarkEnd w:id="5"/>
    </w:p>
    <w:p w14:paraId="6A784CBF" w14:textId="57A254F8" w:rsidR="00D056BB" w:rsidRPr="00D651D8" w:rsidRDefault="00D056BB" w:rsidP="00D651D8">
      <w:pPr>
        <w:pStyle w:val="Kop1"/>
      </w:pPr>
      <w:bookmarkStart w:id="6" w:name="_Toc130542959"/>
      <w:r>
        <w:t>Schedule: Project Document</w:t>
      </w:r>
      <w:bookmarkEnd w:id="6"/>
    </w:p>
    <w:p w14:paraId="242528C9" w14:textId="77777777" w:rsidR="00C46271" w:rsidRPr="00D056BB" w:rsidRDefault="00C46271" w:rsidP="00D51607">
      <w:pPr>
        <w:pStyle w:val="Kop1"/>
      </w:pPr>
      <w:bookmarkStart w:id="7" w:name="_Toc130542960"/>
      <w:r>
        <w:t>Schedule: Service Level Agreement (SLA)</w:t>
      </w:r>
      <w:bookmarkEnd w:id="7"/>
    </w:p>
    <w:p w14:paraId="1717BAA8" w14:textId="2BD696C1" w:rsidR="00C46271" w:rsidRPr="00414A13" w:rsidRDefault="00C46271" w:rsidP="00D651D8">
      <w:pPr>
        <w:pStyle w:val="Kop1"/>
      </w:pPr>
      <w:bookmarkStart w:id="8" w:name="_Toc130542961"/>
      <w:r>
        <w:t>Schedule: Bank Guarantee</w:t>
      </w:r>
      <w:bookmarkEnd w:id="8"/>
    </w:p>
    <w:p w14:paraId="06F84A28" w14:textId="0BE4CBE4" w:rsidR="00C46271" w:rsidRDefault="00C46271" w:rsidP="00D651D8">
      <w:pPr>
        <w:pStyle w:val="Kop1"/>
      </w:pPr>
      <w:bookmarkStart w:id="9" w:name="_Toc130542962"/>
      <w:r>
        <w:t>Schedule: Acceptance Procedure</w:t>
      </w:r>
      <w:bookmarkEnd w:id="9"/>
    </w:p>
    <w:p w14:paraId="426A602A" w14:textId="17CE9C23" w:rsidR="00D51607" w:rsidRDefault="00C46271" w:rsidP="00D651D8">
      <w:pPr>
        <w:pStyle w:val="Kop1"/>
      </w:pPr>
      <w:bookmarkStart w:id="10" w:name="_Toc130542963"/>
      <w:r>
        <w:t>Schedule: Model Timesheets</w:t>
      </w:r>
      <w:bookmarkEnd w:id="10"/>
    </w:p>
    <w:p w14:paraId="05F807F3" w14:textId="1B499588" w:rsidR="00C46271" w:rsidRDefault="00C46271" w:rsidP="009E749D">
      <w:pPr>
        <w:pStyle w:val="Kop1"/>
      </w:pPr>
      <w:bookmarkStart w:id="11" w:name="_Toc130542964"/>
      <w:r>
        <w:t>Schedule: Data Processing Agreement (ARBIT)</w:t>
      </w:r>
      <w:bookmarkEnd w:id="11"/>
    </w:p>
    <w:p w14:paraId="58DB5D2E" w14:textId="5B56B3F8" w:rsidR="009E25DC" w:rsidRDefault="009E25DC" w:rsidP="009E25DC">
      <w:pPr>
        <w:pStyle w:val="Kop1"/>
      </w:pPr>
      <w:bookmarkStart w:id="12" w:name="_Toc130542965"/>
      <w:r>
        <w:t>Schedule: Exit Arrangements</w:t>
      </w:r>
      <w:bookmarkEnd w:id="12"/>
    </w:p>
    <w:p w14:paraId="30465624" w14:textId="2BFADABC" w:rsidR="009E25DC" w:rsidRDefault="009E25DC" w:rsidP="009E25DC">
      <w:pPr>
        <w:pStyle w:val="Kop1"/>
      </w:pPr>
      <w:bookmarkStart w:id="13" w:name="_Toc130542966"/>
      <w:r>
        <w:t>Schedule: Artificial Intelligence (AI)</w:t>
      </w:r>
      <w:bookmarkEnd w:id="13"/>
    </w:p>
    <w:p w14:paraId="28431340" w14:textId="77777777" w:rsidR="009E25DC" w:rsidRPr="009E25DC" w:rsidRDefault="009E25DC" w:rsidP="009E25DC"/>
    <w:p w14:paraId="46FE5A2D" w14:textId="77777777" w:rsidR="009E25DC" w:rsidRPr="009E25DC" w:rsidRDefault="009E25DC" w:rsidP="009E25DC"/>
    <w:p w14:paraId="17559CD8" w14:textId="277A23D8" w:rsidR="00C46271" w:rsidRPr="00E81C8D" w:rsidRDefault="00C46271" w:rsidP="009E749D"/>
    <w:p w14:paraId="4A6EBA59" w14:textId="77777777" w:rsidR="00D445A4" w:rsidRDefault="00D445A4" w:rsidP="00A9370B">
      <w:pPr>
        <w:ind w:left="0" w:firstLine="0"/>
      </w:pPr>
    </w:p>
    <w:sectPr w:rsidR="00D445A4" w:rsidSect="0073653F">
      <w:footerReference w:type="even" r:id="rId9"/>
      <w:footerReference w:type="default" r:id="rId10"/>
      <w:foot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40BB3" w14:textId="77777777" w:rsidR="00311005" w:rsidRDefault="00311005" w:rsidP="009E749D">
      <w:r>
        <w:separator/>
      </w:r>
    </w:p>
  </w:endnote>
  <w:endnote w:type="continuationSeparator" w:id="0">
    <w:p w14:paraId="52653FF7" w14:textId="77777777" w:rsidR="00311005" w:rsidRDefault="00311005" w:rsidP="009E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0FB6" w14:textId="7C2A186C" w:rsidR="00F46177" w:rsidRDefault="00F46177">
    <w:pPr>
      <w:pStyle w:val="Voettekst"/>
    </w:pPr>
    <w:r>
      <w:rPr>
        <w:noProof/>
      </w:rPr>
      <mc:AlternateContent>
        <mc:Choice Requires="wps">
          <w:drawing>
            <wp:anchor distT="0" distB="0" distL="0" distR="0" simplePos="0" relativeHeight="251659264" behindDoc="0" locked="0" layoutInCell="1" allowOverlap="1" wp14:anchorId="75F7E6E9" wp14:editId="1075FE88">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0EF3D" w14:textId="13B6D772" w:rsidR="00F46177" w:rsidRPr="00F46177" w:rsidRDefault="00F46177" w:rsidP="00F46177">
                          <w:pPr>
                            <w:rPr>
                              <w:rFonts w:ascii="Calibri" w:eastAsia="Calibri" w:hAnsi="Calibri" w:cs="Calibri"/>
                              <w:noProof/>
                              <w:color w:val="000000"/>
                              <w:sz w:val="20"/>
                              <w:szCs w:val="20"/>
                            </w:rPr>
                          </w:pPr>
                          <w:r w:rsidRPr="00F4617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F7E6E9"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B10EF3D" w14:textId="13B6D772" w:rsidR="00F46177" w:rsidRPr="00F46177" w:rsidRDefault="00F46177" w:rsidP="00F46177">
                    <w:pPr>
                      <w:rPr>
                        <w:rFonts w:ascii="Calibri" w:eastAsia="Calibri" w:hAnsi="Calibri" w:cs="Calibri"/>
                        <w:noProof/>
                        <w:color w:val="000000"/>
                        <w:sz w:val="20"/>
                        <w:szCs w:val="20"/>
                      </w:rPr>
                    </w:pPr>
                    <w:r w:rsidRPr="00F4617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A153" w14:textId="6C916809" w:rsidR="00E716FF" w:rsidRDefault="00F46177">
    <w:pPr>
      <w:pStyle w:val="Voettekst"/>
    </w:pPr>
    <w:r>
      <w:rPr>
        <w:noProof/>
      </w:rPr>
      <mc:AlternateContent>
        <mc:Choice Requires="wps">
          <w:drawing>
            <wp:anchor distT="0" distB="0" distL="0" distR="0" simplePos="0" relativeHeight="251660288" behindDoc="0" locked="0" layoutInCell="1" allowOverlap="1" wp14:anchorId="21511290" wp14:editId="33D2A69D">
              <wp:simplePos x="904875" y="10010775"/>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2129E" w14:textId="14A0E70F" w:rsidR="00F46177" w:rsidRPr="00F46177" w:rsidRDefault="00F46177" w:rsidP="00F46177">
                          <w:pPr>
                            <w:rPr>
                              <w:rFonts w:ascii="Calibri" w:eastAsia="Calibri" w:hAnsi="Calibri" w:cs="Calibri"/>
                              <w:noProof/>
                              <w:color w:val="000000"/>
                              <w:sz w:val="20"/>
                              <w:szCs w:val="20"/>
                            </w:rPr>
                          </w:pPr>
                          <w:r w:rsidRPr="00F4617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511290" id="_x0000_t202" coordsize="21600,21600" o:spt="202" path="m,l,21600r21600,l21600,xe">
              <v:stroke joinstyle="miter"/>
              <v:path gradientshapeok="t" o:connecttype="rect"/>
            </v:shapetype>
            <v:shape id="Tekstvak 4" o:spid="_x0000_s1028" type="#_x0000_t202" alt="Intern gebruik"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152129E" w14:textId="14A0E70F" w:rsidR="00F46177" w:rsidRPr="00F46177" w:rsidRDefault="00F46177" w:rsidP="00F46177">
                    <w:pPr>
                      <w:rPr>
                        <w:rFonts w:ascii="Calibri" w:eastAsia="Calibri" w:hAnsi="Calibri" w:cs="Calibri"/>
                        <w:noProof/>
                        <w:color w:val="000000"/>
                        <w:sz w:val="20"/>
                        <w:szCs w:val="20"/>
                      </w:rPr>
                    </w:pPr>
                    <w:r w:rsidRPr="00F46177">
                      <w:rPr>
                        <w:rFonts w:ascii="Calibri" w:eastAsia="Calibri" w:hAnsi="Calibri" w:cs="Calibri"/>
                        <w:noProof/>
                        <w:color w:val="000000"/>
                        <w:sz w:val="20"/>
                        <w:szCs w:val="20"/>
                      </w:rPr>
                      <w:t>Intern gebruik</w:t>
                    </w:r>
                  </w:p>
                </w:txbxContent>
              </v:textbox>
              <w10:wrap anchorx="page" anchory="page"/>
            </v:shape>
          </w:pict>
        </mc:Fallback>
      </mc:AlternateContent>
    </w:r>
    <w:r w:rsidR="00E716FF">
      <w:t>AVT/BZ-230111-005</w:t>
    </w:r>
    <w:r w:rsidR="0006207C">
      <w:t xml:space="preserve"> </w:t>
    </w:r>
    <w:r w:rsidR="00B81002">
      <w:t xml:space="preserve">ARBIT-2022 </w:t>
    </w:r>
    <w:proofErr w:type="spellStart"/>
    <w:r w:rsidR="0006207C">
      <w:t>Modelovereenkomst</w:t>
    </w:r>
    <w:proofErr w:type="spellEnd"/>
    <w:r w:rsidR="0006207C">
      <w:t xml:space="preserve"> Agile</w:t>
    </w:r>
    <w:r w:rsidR="00E716FF">
      <w:tab/>
    </w:r>
    <w:r w:rsidR="00E716FF">
      <w:fldChar w:fldCharType="begin"/>
    </w:r>
    <w:r w:rsidR="00E716FF">
      <w:instrText>PAGE   \* MERGEFORMAT</w:instrText>
    </w:r>
    <w:r w:rsidR="00E716FF">
      <w:fldChar w:fldCharType="separate"/>
    </w:r>
    <w:r w:rsidR="00E716FF">
      <w:t>1</w:t>
    </w:r>
    <w:r w:rsidR="00E716FF">
      <w:fldChar w:fldCharType="end"/>
    </w:r>
  </w:p>
  <w:p w14:paraId="20728E09" w14:textId="77777777" w:rsidR="00E716FF" w:rsidRDefault="00E716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FEA" w14:textId="4F6C5868" w:rsidR="00F46177" w:rsidRDefault="00F46177">
    <w:pPr>
      <w:pStyle w:val="Voettekst"/>
    </w:pPr>
    <w:r>
      <w:rPr>
        <w:noProof/>
      </w:rPr>
      <mc:AlternateContent>
        <mc:Choice Requires="wps">
          <w:drawing>
            <wp:anchor distT="0" distB="0" distL="0" distR="0" simplePos="0" relativeHeight="251658240" behindDoc="0" locked="0" layoutInCell="1" allowOverlap="1" wp14:anchorId="0A885F88" wp14:editId="5BF4B9FF">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A6A3CF" w14:textId="7AE704A7" w:rsidR="00F46177" w:rsidRPr="00F46177" w:rsidRDefault="00F46177" w:rsidP="00F46177">
                          <w:pPr>
                            <w:rPr>
                              <w:rFonts w:ascii="Calibri" w:eastAsia="Calibri" w:hAnsi="Calibri" w:cs="Calibri"/>
                              <w:noProof/>
                              <w:color w:val="000000"/>
                              <w:sz w:val="20"/>
                              <w:szCs w:val="20"/>
                            </w:rPr>
                          </w:pPr>
                          <w:r w:rsidRPr="00F4617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885F88" id="_x0000_t202" coordsize="21600,21600" o:spt="202" path="m,l,21600r21600,l21600,xe">
              <v:stroke joinstyle="miter"/>
              <v:path gradientshapeok="t" o:connecttype="rect"/>
            </v:shapetype>
            <v:shape id="Tekstvak 2" o:spid="_x0000_s1029" type="#_x0000_t202" alt="Intern gebruik"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3A6A3CF" w14:textId="7AE704A7" w:rsidR="00F46177" w:rsidRPr="00F46177" w:rsidRDefault="00F46177" w:rsidP="00F46177">
                    <w:pPr>
                      <w:rPr>
                        <w:rFonts w:ascii="Calibri" w:eastAsia="Calibri" w:hAnsi="Calibri" w:cs="Calibri"/>
                        <w:noProof/>
                        <w:color w:val="000000"/>
                        <w:sz w:val="20"/>
                        <w:szCs w:val="20"/>
                      </w:rPr>
                    </w:pPr>
                    <w:r w:rsidRPr="00F4617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98BA" w14:textId="77777777" w:rsidR="00311005" w:rsidRDefault="00311005" w:rsidP="009E749D">
      <w:r>
        <w:separator/>
      </w:r>
    </w:p>
  </w:footnote>
  <w:footnote w:type="continuationSeparator" w:id="0">
    <w:p w14:paraId="1594A5BD" w14:textId="77777777" w:rsidR="00311005" w:rsidRDefault="00311005" w:rsidP="009E7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6127BE"/>
    <w:multiLevelType w:val="multilevel"/>
    <w:tmpl w:val="EA7637F6"/>
    <w:lvl w:ilvl="0">
      <w:start w:val="1"/>
      <w:numFmt w:val="decimal"/>
      <w:suff w:val="nothing"/>
      <w:lvlText w:val="%1. "/>
      <w:lvlJc w:val="left"/>
      <w:pPr>
        <w:ind w:left="570" w:hanging="570"/>
      </w:pPr>
      <w:rPr>
        <w:rFonts w:hint="default"/>
        <w:b/>
        <w:bCs/>
      </w:rPr>
    </w:lvl>
    <w:lvl w:ilvl="1">
      <w:start w:val="1"/>
      <w:numFmt w:val="decimal"/>
      <w:lvlText w:val="%1.%2"/>
      <w:lvlJc w:val="left"/>
      <w:pPr>
        <w:ind w:left="570" w:hanging="57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4" w15:restartNumberingAfterBreak="0">
    <w:nsid w:val="28C5357C"/>
    <w:multiLevelType w:val="multilevel"/>
    <w:tmpl w:val="05DAFF8E"/>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6" w15:restartNumberingAfterBreak="0">
    <w:nsid w:val="31CB79D8"/>
    <w:multiLevelType w:val="multilevel"/>
    <w:tmpl w:val="06962652"/>
    <w:numStyleLink w:val="Lijststijl"/>
  </w:abstractNum>
  <w:abstractNum w:abstractNumId="7" w15:restartNumberingAfterBreak="0">
    <w:nsid w:val="476412A3"/>
    <w:multiLevelType w:val="hybridMultilevel"/>
    <w:tmpl w:val="DBDE6118"/>
    <w:lvl w:ilvl="0" w:tplc="13E2352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A546A1"/>
    <w:multiLevelType w:val="multilevel"/>
    <w:tmpl w:val="9AFE7F5E"/>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B3E3FB6"/>
    <w:multiLevelType w:val="hybridMultilevel"/>
    <w:tmpl w:val="B718C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5CE74F7"/>
    <w:multiLevelType w:val="multilevel"/>
    <w:tmpl w:val="9C48E9C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0E02B94"/>
    <w:multiLevelType w:val="multilevel"/>
    <w:tmpl w:val="ED267E6C"/>
    <w:lvl w:ilvl="0">
      <w:start w:val="9"/>
      <w:numFmt w:val="decimal"/>
      <w:lvlText w:val="%1"/>
      <w:lvlJc w:val="left"/>
      <w:pPr>
        <w:ind w:left="360" w:hanging="360"/>
      </w:pPr>
      <w:rPr>
        <w:rFonts w:ascii="Calibri" w:hAnsi="Calibri" w:hint="default"/>
        <w:b/>
        <w:sz w:val="20"/>
      </w:rPr>
    </w:lvl>
    <w:lvl w:ilvl="1">
      <w:start w:val="7"/>
      <w:numFmt w:val="decimal"/>
      <w:lvlText w:val="%1.%2"/>
      <w:lvlJc w:val="left"/>
      <w:pPr>
        <w:ind w:left="360" w:hanging="360"/>
      </w:pPr>
      <w:rPr>
        <w:rFonts w:ascii="Calibri" w:hAnsi="Calibri" w:hint="default"/>
        <w:b/>
        <w:sz w:val="20"/>
      </w:rPr>
    </w:lvl>
    <w:lvl w:ilvl="2">
      <w:start w:val="1"/>
      <w:numFmt w:val="decimal"/>
      <w:lvlText w:val="%1.%2.%3"/>
      <w:lvlJc w:val="left"/>
      <w:pPr>
        <w:ind w:left="720" w:hanging="720"/>
      </w:pPr>
      <w:rPr>
        <w:rFonts w:ascii="Calibri" w:hAnsi="Calibri" w:hint="default"/>
        <w:b/>
        <w:sz w:val="20"/>
      </w:rPr>
    </w:lvl>
    <w:lvl w:ilvl="3">
      <w:start w:val="1"/>
      <w:numFmt w:val="decimal"/>
      <w:lvlText w:val="%1.%2.%3.%4"/>
      <w:lvlJc w:val="left"/>
      <w:pPr>
        <w:ind w:left="1080" w:hanging="1080"/>
      </w:pPr>
      <w:rPr>
        <w:rFonts w:ascii="Calibri" w:hAnsi="Calibri" w:hint="default"/>
        <w:b/>
        <w:sz w:val="20"/>
      </w:rPr>
    </w:lvl>
    <w:lvl w:ilvl="4">
      <w:start w:val="1"/>
      <w:numFmt w:val="decimal"/>
      <w:lvlText w:val="%1.%2.%3.%4.%5"/>
      <w:lvlJc w:val="left"/>
      <w:pPr>
        <w:ind w:left="1080" w:hanging="1080"/>
      </w:pPr>
      <w:rPr>
        <w:rFonts w:ascii="Calibri" w:hAnsi="Calibri" w:hint="default"/>
        <w:b/>
        <w:sz w:val="20"/>
      </w:rPr>
    </w:lvl>
    <w:lvl w:ilvl="5">
      <w:start w:val="1"/>
      <w:numFmt w:val="decimal"/>
      <w:lvlText w:val="%1.%2.%3.%4.%5.%6"/>
      <w:lvlJc w:val="left"/>
      <w:pPr>
        <w:ind w:left="1440" w:hanging="1440"/>
      </w:pPr>
      <w:rPr>
        <w:rFonts w:ascii="Calibri" w:hAnsi="Calibri" w:hint="default"/>
        <w:b/>
        <w:sz w:val="20"/>
      </w:rPr>
    </w:lvl>
    <w:lvl w:ilvl="6">
      <w:start w:val="1"/>
      <w:numFmt w:val="decimal"/>
      <w:lvlText w:val="%1.%2.%3.%4.%5.%6.%7"/>
      <w:lvlJc w:val="left"/>
      <w:pPr>
        <w:ind w:left="1440" w:hanging="1440"/>
      </w:pPr>
      <w:rPr>
        <w:rFonts w:ascii="Calibri" w:hAnsi="Calibri" w:hint="default"/>
        <w:b/>
        <w:sz w:val="20"/>
      </w:rPr>
    </w:lvl>
    <w:lvl w:ilvl="7">
      <w:start w:val="1"/>
      <w:numFmt w:val="decimal"/>
      <w:lvlText w:val="%1.%2.%3.%4.%5.%6.%7.%8"/>
      <w:lvlJc w:val="left"/>
      <w:pPr>
        <w:ind w:left="1800" w:hanging="1800"/>
      </w:pPr>
      <w:rPr>
        <w:rFonts w:ascii="Calibri" w:hAnsi="Calibri" w:hint="default"/>
        <w:b/>
        <w:sz w:val="20"/>
      </w:rPr>
    </w:lvl>
    <w:lvl w:ilvl="8">
      <w:start w:val="1"/>
      <w:numFmt w:val="decimal"/>
      <w:lvlText w:val="%1.%2.%3.%4.%5.%6.%7.%8.%9"/>
      <w:lvlJc w:val="left"/>
      <w:pPr>
        <w:ind w:left="2160" w:hanging="2160"/>
      </w:pPr>
      <w:rPr>
        <w:rFonts w:ascii="Calibri" w:hAnsi="Calibri" w:hint="default"/>
        <w:b/>
        <w:sz w:val="20"/>
      </w:rPr>
    </w:lvl>
  </w:abstractNum>
  <w:abstractNum w:abstractNumId="12" w15:restartNumberingAfterBreak="0">
    <w:nsid w:val="78FA7132"/>
    <w:multiLevelType w:val="multilevel"/>
    <w:tmpl w:val="9ED608CC"/>
    <w:lvl w:ilvl="0">
      <w:start w:val="9"/>
      <w:numFmt w:val="decimal"/>
      <w:lvlText w:val="%1"/>
      <w:lvlJc w:val="left"/>
      <w:pPr>
        <w:ind w:left="360" w:hanging="360"/>
      </w:pPr>
      <w:rPr>
        <w:rFonts w:hint="default"/>
        <w:b/>
        <w:i/>
      </w:rPr>
    </w:lvl>
    <w:lvl w:ilvl="1">
      <w:start w:val="8"/>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num w:numId="1" w16cid:durableId="59910284">
    <w:abstractNumId w:val="3"/>
  </w:num>
  <w:num w:numId="2" w16cid:durableId="2065175994">
    <w:abstractNumId w:val="2"/>
  </w:num>
  <w:num w:numId="3" w16cid:durableId="156965601">
    <w:abstractNumId w:val="6"/>
  </w:num>
  <w:num w:numId="4" w16cid:durableId="163128721">
    <w:abstractNumId w:val="5"/>
  </w:num>
  <w:num w:numId="5" w16cid:durableId="35928927">
    <w:abstractNumId w:val="7"/>
  </w:num>
  <w:num w:numId="6" w16cid:durableId="896236041">
    <w:abstractNumId w:val="9"/>
  </w:num>
  <w:num w:numId="7" w16cid:durableId="2000185799">
    <w:abstractNumId w:val="1"/>
  </w:num>
  <w:num w:numId="8" w16cid:durableId="1127821946">
    <w:abstractNumId w:val="5"/>
  </w:num>
  <w:num w:numId="9" w16cid:durableId="925266972">
    <w:abstractNumId w:val="5"/>
  </w:num>
  <w:num w:numId="10" w16cid:durableId="1205020265">
    <w:abstractNumId w:val="5"/>
  </w:num>
  <w:num w:numId="11" w16cid:durableId="1348169341">
    <w:abstractNumId w:val="5"/>
  </w:num>
  <w:num w:numId="12" w16cid:durableId="276374579">
    <w:abstractNumId w:val="5"/>
  </w:num>
  <w:num w:numId="13" w16cid:durableId="682127824">
    <w:abstractNumId w:val="5"/>
  </w:num>
  <w:num w:numId="14" w16cid:durableId="516386652">
    <w:abstractNumId w:val="5"/>
  </w:num>
  <w:num w:numId="15" w16cid:durableId="1416630924">
    <w:abstractNumId w:val="5"/>
  </w:num>
  <w:num w:numId="16" w16cid:durableId="802699511">
    <w:abstractNumId w:val="5"/>
  </w:num>
  <w:num w:numId="17" w16cid:durableId="3678577">
    <w:abstractNumId w:val="5"/>
  </w:num>
  <w:num w:numId="18" w16cid:durableId="1217156725">
    <w:abstractNumId w:val="5"/>
  </w:num>
  <w:num w:numId="19" w16cid:durableId="443841162">
    <w:abstractNumId w:val="5"/>
  </w:num>
  <w:num w:numId="20" w16cid:durableId="100223339">
    <w:abstractNumId w:val="5"/>
  </w:num>
  <w:num w:numId="21" w16cid:durableId="787743643">
    <w:abstractNumId w:val="5"/>
  </w:num>
  <w:num w:numId="22" w16cid:durableId="1073742084">
    <w:abstractNumId w:val="5"/>
  </w:num>
  <w:num w:numId="23" w16cid:durableId="349530517">
    <w:abstractNumId w:val="5"/>
  </w:num>
  <w:num w:numId="24" w16cid:durableId="1302422494">
    <w:abstractNumId w:val="5"/>
  </w:num>
  <w:num w:numId="25" w16cid:durableId="955798192">
    <w:abstractNumId w:val="5"/>
  </w:num>
  <w:num w:numId="26" w16cid:durableId="566384192">
    <w:abstractNumId w:val="5"/>
  </w:num>
  <w:num w:numId="27" w16cid:durableId="471755605">
    <w:abstractNumId w:val="5"/>
  </w:num>
  <w:num w:numId="28" w16cid:durableId="742290748">
    <w:abstractNumId w:val="5"/>
  </w:num>
  <w:num w:numId="29" w16cid:durableId="471749595">
    <w:abstractNumId w:val="5"/>
  </w:num>
  <w:num w:numId="30" w16cid:durableId="445470664">
    <w:abstractNumId w:val="5"/>
  </w:num>
  <w:num w:numId="31" w16cid:durableId="406273032">
    <w:abstractNumId w:val="5"/>
  </w:num>
  <w:num w:numId="32" w16cid:durableId="1822890984">
    <w:abstractNumId w:val="0"/>
  </w:num>
  <w:num w:numId="33" w16cid:durableId="1164735449">
    <w:abstractNumId w:val="8"/>
  </w:num>
  <w:num w:numId="34" w16cid:durableId="789739347">
    <w:abstractNumId w:val="10"/>
  </w:num>
  <w:num w:numId="35" w16cid:durableId="2138792319">
    <w:abstractNumId w:val="12"/>
  </w:num>
  <w:num w:numId="36" w16cid:durableId="1986353871">
    <w:abstractNumId w:val="4"/>
  </w:num>
  <w:num w:numId="37" w16cid:durableId="126873262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2"/>
    <w:rsid w:val="0000097E"/>
    <w:rsid w:val="0000607F"/>
    <w:rsid w:val="00010B1E"/>
    <w:rsid w:val="00022B45"/>
    <w:rsid w:val="00026AD0"/>
    <w:rsid w:val="0003475B"/>
    <w:rsid w:val="0003784C"/>
    <w:rsid w:val="00037887"/>
    <w:rsid w:val="000412D6"/>
    <w:rsid w:val="00044A06"/>
    <w:rsid w:val="000543F4"/>
    <w:rsid w:val="000554A1"/>
    <w:rsid w:val="0006207C"/>
    <w:rsid w:val="0006280C"/>
    <w:rsid w:val="00063BAF"/>
    <w:rsid w:val="000824C7"/>
    <w:rsid w:val="00082B1B"/>
    <w:rsid w:val="000944BA"/>
    <w:rsid w:val="000A7BDF"/>
    <w:rsid w:val="000B52F9"/>
    <w:rsid w:val="000C0F34"/>
    <w:rsid w:val="000C3102"/>
    <w:rsid w:val="000C59F8"/>
    <w:rsid w:val="000D69F7"/>
    <w:rsid w:val="000E1F3B"/>
    <w:rsid w:val="000E5979"/>
    <w:rsid w:val="000E5D32"/>
    <w:rsid w:val="000F24C5"/>
    <w:rsid w:val="00100B1E"/>
    <w:rsid w:val="00103F23"/>
    <w:rsid w:val="00111BB4"/>
    <w:rsid w:val="0011311E"/>
    <w:rsid w:val="00121D98"/>
    <w:rsid w:val="00131DBD"/>
    <w:rsid w:val="0013218F"/>
    <w:rsid w:val="00137F66"/>
    <w:rsid w:val="00143A49"/>
    <w:rsid w:val="00145363"/>
    <w:rsid w:val="001529B4"/>
    <w:rsid w:val="001552EB"/>
    <w:rsid w:val="00157CB4"/>
    <w:rsid w:val="00163B01"/>
    <w:rsid w:val="00166A44"/>
    <w:rsid w:val="001762CF"/>
    <w:rsid w:val="001830FE"/>
    <w:rsid w:val="0018487F"/>
    <w:rsid w:val="001A0A5D"/>
    <w:rsid w:val="001A7720"/>
    <w:rsid w:val="001C0348"/>
    <w:rsid w:val="001D1ED1"/>
    <w:rsid w:val="001D6578"/>
    <w:rsid w:val="001D6F03"/>
    <w:rsid w:val="001D7CB6"/>
    <w:rsid w:val="001E4704"/>
    <w:rsid w:val="001E5DDC"/>
    <w:rsid w:val="00210BCB"/>
    <w:rsid w:val="00230B62"/>
    <w:rsid w:val="0023249C"/>
    <w:rsid w:val="00235679"/>
    <w:rsid w:val="00241548"/>
    <w:rsid w:val="00243C75"/>
    <w:rsid w:val="002543B7"/>
    <w:rsid w:val="002609B5"/>
    <w:rsid w:val="0026235A"/>
    <w:rsid w:val="002653FC"/>
    <w:rsid w:val="002719A3"/>
    <w:rsid w:val="00277D9A"/>
    <w:rsid w:val="00287C33"/>
    <w:rsid w:val="002948F7"/>
    <w:rsid w:val="00295418"/>
    <w:rsid w:val="002970B9"/>
    <w:rsid w:val="002A088F"/>
    <w:rsid w:val="002A26EC"/>
    <w:rsid w:val="002A3757"/>
    <w:rsid w:val="002A622D"/>
    <w:rsid w:val="002A6578"/>
    <w:rsid w:val="002A7F28"/>
    <w:rsid w:val="002B0863"/>
    <w:rsid w:val="002B1092"/>
    <w:rsid w:val="002B2BF3"/>
    <w:rsid w:val="002B43C1"/>
    <w:rsid w:val="002B4A8B"/>
    <w:rsid w:val="002C004E"/>
    <w:rsid w:val="002C179E"/>
    <w:rsid w:val="002D528F"/>
    <w:rsid w:val="002D7AA5"/>
    <w:rsid w:val="002E0FD2"/>
    <w:rsid w:val="002E401A"/>
    <w:rsid w:val="002F148D"/>
    <w:rsid w:val="002F1D9A"/>
    <w:rsid w:val="002F7E5F"/>
    <w:rsid w:val="0030225F"/>
    <w:rsid w:val="00311005"/>
    <w:rsid w:val="00314105"/>
    <w:rsid w:val="00316175"/>
    <w:rsid w:val="00316CE5"/>
    <w:rsid w:val="00325E90"/>
    <w:rsid w:val="00333A06"/>
    <w:rsid w:val="003364E6"/>
    <w:rsid w:val="003469F5"/>
    <w:rsid w:val="003537F5"/>
    <w:rsid w:val="00357B81"/>
    <w:rsid w:val="00377D11"/>
    <w:rsid w:val="0038549E"/>
    <w:rsid w:val="00394CFB"/>
    <w:rsid w:val="003A00BD"/>
    <w:rsid w:val="003B070C"/>
    <w:rsid w:val="003B19BB"/>
    <w:rsid w:val="003B253F"/>
    <w:rsid w:val="003B2C03"/>
    <w:rsid w:val="003B48EC"/>
    <w:rsid w:val="003B7795"/>
    <w:rsid w:val="003C06E1"/>
    <w:rsid w:val="003C4BF2"/>
    <w:rsid w:val="003D3608"/>
    <w:rsid w:val="003E0416"/>
    <w:rsid w:val="003E3B77"/>
    <w:rsid w:val="003E5DAF"/>
    <w:rsid w:val="003F30DC"/>
    <w:rsid w:val="003F6AB8"/>
    <w:rsid w:val="0040142D"/>
    <w:rsid w:val="00403373"/>
    <w:rsid w:val="0040374C"/>
    <w:rsid w:val="0040571B"/>
    <w:rsid w:val="004074EE"/>
    <w:rsid w:val="0040795E"/>
    <w:rsid w:val="0041054E"/>
    <w:rsid w:val="004138BF"/>
    <w:rsid w:val="00414B5E"/>
    <w:rsid w:val="00414D89"/>
    <w:rsid w:val="0041734C"/>
    <w:rsid w:val="00417795"/>
    <w:rsid w:val="00417F51"/>
    <w:rsid w:val="0042796E"/>
    <w:rsid w:val="004378A2"/>
    <w:rsid w:val="00442891"/>
    <w:rsid w:val="00445C19"/>
    <w:rsid w:val="00450447"/>
    <w:rsid w:val="004513D7"/>
    <w:rsid w:val="00454D00"/>
    <w:rsid w:val="00456130"/>
    <w:rsid w:val="004615A9"/>
    <w:rsid w:val="00470E00"/>
    <w:rsid w:val="004839EF"/>
    <w:rsid w:val="004876EA"/>
    <w:rsid w:val="004A0591"/>
    <w:rsid w:val="004A2611"/>
    <w:rsid w:val="004A291E"/>
    <w:rsid w:val="004A38B2"/>
    <w:rsid w:val="004A59F6"/>
    <w:rsid w:val="004B0EA1"/>
    <w:rsid w:val="004B1506"/>
    <w:rsid w:val="004D766D"/>
    <w:rsid w:val="004E7954"/>
    <w:rsid w:val="004F2BCE"/>
    <w:rsid w:val="00503E9E"/>
    <w:rsid w:val="00504DF1"/>
    <w:rsid w:val="00510DDF"/>
    <w:rsid w:val="00511FCF"/>
    <w:rsid w:val="00514595"/>
    <w:rsid w:val="00517319"/>
    <w:rsid w:val="005239F6"/>
    <w:rsid w:val="005276DE"/>
    <w:rsid w:val="00530472"/>
    <w:rsid w:val="00532D92"/>
    <w:rsid w:val="00541B7A"/>
    <w:rsid w:val="00543019"/>
    <w:rsid w:val="00543E19"/>
    <w:rsid w:val="00552846"/>
    <w:rsid w:val="005534E7"/>
    <w:rsid w:val="00556679"/>
    <w:rsid w:val="005666CD"/>
    <w:rsid w:val="00571725"/>
    <w:rsid w:val="005801FD"/>
    <w:rsid w:val="00595867"/>
    <w:rsid w:val="005A4FBE"/>
    <w:rsid w:val="005A7643"/>
    <w:rsid w:val="005B2D87"/>
    <w:rsid w:val="005D2895"/>
    <w:rsid w:val="005D2CF1"/>
    <w:rsid w:val="005D4368"/>
    <w:rsid w:val="005E046F"/>
    <w:rsid w:val="005E254F"/>
    <w:rsid w:val="005F1E3F"/>
    <w:rsid w:val="005F3CE2"/>
    <w:rsid w:val="005F502D"/>
    <w:rsid w:val="006006F5"/>
    <w:rsid w:val="00603D1B"/>
    <w:rsid w:val="00604F79"/>
    <w:rsid w:val="00610A74"/>
    <w:rsid w:val="006207F6"/>
    <w:rsid w:val="00622405"/>
    <w:rsid w:val="00625A9D"/>
    <w:rsid w:val="006307EC"/>
    <w:rsid w:val="00640CBC"/>
    <w:rsid w:val="006417C2"/>
    <w:rsid w:val="00642382"/>
    <w:rsid w:val="006443CB"/>
    <w:rsid w:val="006465F0"/>
    <w:rsid w:val="00652542"/>
    <w:rsid w:val="006606D2"/>
    <w:rsid w:val="0066545B"/>
    <w:rsid w:val="00667871"/>
    <w:rsid w:val="00667EAE"/>
    <w:rsid w:val="0067018A"/>
    <w:rsid w:val="00673543"/>
    <w:rsid w:val="00682468"/>
    <w:rsid w:val="00690A05"/>
    <w:rsid w:val="00692472"/>
    <w:rsid w:val="006942BB"/>
    <w:rsid w:val="006A52E4"/>
    <w:rsid w:val="006A7C37"/>
    <w:rsid w:val="006B33C9"/>
    <w:rsid w:val="006B405E"/>
    <w:rsid w:val="006C03E6"/>
    <w:rsid w:val="006C3EAC"/>
    <w:rsid w:val="006C7C1C"/>
    <w:rsid w:val="006D2E66"/>
    <w:rsid w:val="006D3148"/>
    <w:rsid w:val="006E0181"/>
    <w:rsid w:val="006E084F"/>
    <w:rsid w:val="006E7BF1"/>
    <w:rsid w:val="006F42D7"/>
    <w:rsid w:val="006F61DC"/>
    <w:rsid w:val="0070215E"/>
    <w:rsid w:val="007024FA"/>
    <w:rsid w:val="007026DA"/>
    <w:rsid w:val="00702F1F"/>
    <w:rsid w:val="0070491E"/>
    <w:rsid w:val="007065B2"/>
    <w:rsid w:val="007117F5"/>
    <w:rsid w:val="00724FC1"/>
    <w:rsid w:val="00730769"/>
    <w:rsid w:val="0073653F"/>
    <w:rsid w:val="00744518"/>
    <w:rsid w:val="0074557B"/>
    <w:rsid w:val="00755272"/>
    <w:rsid w:val="0076056D"/>
    <w:rsid w:val="0076127F"/>
    <w:rsid w:val="00761598"/>
    <w:rsid w:val="00764DE4"/>
    <w:rsid w:val="0076537B"/>
    <w:rsid w:val="00765BD5"/>
    <w:rsid w:val="00772203"/>
    <w:rsid w:val="007776BF"/>
    <w:rsid w:val="00777A77"/>
    <w:rsid w:val="007831DE"/>
    <w:rsid w:val="00787A91"/>
    <w:rsid w:val="0079159E"/>
    <w:rsid w:val="00793D22"/>
    <w:rsid w:val="007963BC"/>
    <w:rsid w:val="0079666C"/>
    <w:rsid w:val="007A0137"/>
    <w:rsid w:val="007A36A4"/>
    <w:rsid w:val="007B7713"/>
    <w:rsid w:val="007D18DD"/>
    <w:rsid w:val="007D3E49"/>
    <w:rsid w:val="007F1C95"/>
    <w:rsid w:val="007F4AEA"/>
    <w:rsid w:val="007F589D"/>
    <w:rsid w:val="00802857"/>
    <w:rsid w:val="00812488"/>
    <w:rsid w:val="00816CE6"/>
    <w:rsid w:val="008248D5"/>
    <w:rsid w:val="0082688A"/>
    <w:rsid w:val="008300D2"/>
    <w:rsid w:val="00830241"/>
    <w:rsid w:val="00835418"/>
    <w:rsid w:val="00835EDF"/>
    <w:rsid w:val="00836D13"/>
    <w:rsid w:val="00851990"/>
    <w:rsid w:val="008530B4"/>
    <w:rsid w:val="008544F7"/>
    <w:rsid w:val="008604CB"/>
    <w:rsid w:val="008617FB"/>
    <w:rsid w:val="00862A4B"/>
    <w:rsid w:val="0086319E"/>
    <w:rsid w:val="00877051"/>
    <w:rsid w:val="00882960"/>
    <w:rsid w:val="008832D0"/>
    <w:rsid w:val="0088501B"/>
    <w:rsid w:val="008910D9"/>
    <w:rsid w:val="00891ECD"/>
    <w:rsid w:val="00892868"/>
    <w:rsid w:val="0089330A"/>
    <w:rsid w:val="00894722"/>
    <w:rsid w:val="008A1DB2"/>
    <w:rsid w:val="008A4FB5"/>
    <w:rsid w:val="008A7F19"/>
    <w:rsid w:val="008B7CA1"/>
    <w:rsid w:val="008C27E7"/>
    <w:rsid w:val="008C70D3"/>
    <w:rsid w:val="008C752C"/>
    <w:rsid w:val="008D2AE2"/>
    <w:rsid w:val="008D72C9"/>
    <w:rsid w:val="008D7363"/>
    <w:rsid w:val="008E2D8D"/>
    <w:rsid w:val="008E3581"/>
    <w:rsid w:val="009017DE"/>
    <w:rsid w:val="00905289"/>
    <w:rsid w:val="00907789"/>
    <w:rsid w:val="0092583A"/>
    <w:rsid w:val="009343CC"/>
    <w:rsid w:val="00950EA5"/>
    <w:rsid w:val="00951D4B"/>
    <w:rsid w:val="009616F5"/>
    <w:rsid w:val="00965E6D"/>
    <w:rsid w:val="00974759"/>
    <w:rsid w:val="00976BBD"/>
    <w:rsid w:val="00980DBA"/>
    <w:rsid w:val="009879D7"/>
    <w:rsid w:val="00992138"/>
    <w:rsid w:val="00995375"/>
    <w:rsid w:val="009A4E4F"/>
    <w:rsid w:val="009A7A3C"/>
    <w:rsid w:val="009B0AB4"/>
    <w:rsid w:val="009B24EC"/>
    <w:rsid w:val="009C2C22"/>
    <w:rsid w:val="009C5CF5"/>
    <w:rsid w:val="009C770A"/>
    <w:rsid w:val="009E0281"/>
    <w:rsid w:val="009E25DC"/>
    <w:rsid w:val="009E4089"/>
    <w:rsid w:val="009E749D"/>
    <w:rsid w:val="009F0BA4"/>
    <w:rsid w:val="00A01D44"/>
    <w:rsid w:val="00A0302C"/>
    <w:rsid w:val="00A10900"/>
    <w:rsid w:val="00A16DF7"/>
    <w:rsid w:val="00A20268"/>
    <w:rsid w:val="00A2570B"/>
    <w:rsid w:val="00A32591"/>
    <w:rsid w:val="00A429E2"/>
    <w:rsid w:val="00A575BA"/>
    <w:rsid w:val="00A63558"/>
    <w:rsid w:val="00A658E3"/>
    <w:rsid w:val="00A6635D"/>
    <w:rsid w:val="00A67038"/>
    <w:rsid w:val="00A70E91"/>
    <w:rsid w:val="00A77ABF"/>
    <w:rsid w:val="00A80281"/>
    <w:rsid w:val="00A863E9"/>
    <w:rsid w:val="00A9370B"/>
    <w:rsid w:val="00AC185C"/>
    <w:rsid w:val="00AC1951"/>
    <w:rsid w:val="00AD6B38"/>
    <w:rsid w:val="00AE3809"/>
    <w:rsid w:val="00AE3903"/>
    <w:rsid w:val="00AE4CC9"/>
    <w:rsid w:val="00AE52A2"/>
    <w:rsid w:val="00AF00B3"/>
    <w:rsid w:val="00AF6218"/>
    <w:rsid w:val="00B0045B"/>
    <w:rsid w:val="00B00A05"/>
    <w:rsid w:val="00B022C4"/>
    <w:rsid w:val="00B048D0"/>
    <w:rsid w:val="00B16CE2"/>
    <w:rsid w:val="00B24E84"/>
    <w:rsid w:val="00B35727"/>
    <w:rsid w:val="00B35B95"/>
    <w:rsid w:val="00B360CB"/>
    <w:rsid w:val="00B431BE"/>
    <w:rsid w:val="00B433A9"/>
    <w:rsid w:val="00B46877"/>
    <w:rsid w:val="00B559E9"/>
    <w:rsid w:val="00B57F18"/>
    <w:rsid w:val="00B72222"/>
    <w:rsid w:val="00B77121"/>
    <w:rsid w:val="00B80542"/>
    <w:rsid w:val="00B80650"/>
    <w:rsid w:val="00B80681"/>
    <w:rsid w:val="00B81002"/>
    <w:rsid w:val="00B820DA"/>
    <w:rsid w:val="00B833CF"/>
    <w:rsid w:val="00B8551E"/>
    <w:rsid w:val="00B9227A"/>
    <w:rsid w:val="00B92513"/>
    <w:rsid w:val="00B94D09"/>
    <w:rsid w:val="00BA4974"/>
    <w:rsid w:val="00BB2064"/>
    <w:rsid w:val="00BB3780"/>
    <w:rsid w:val="00BB568C"/>
    <w:rsid w:val="00BB5A2B"/>
    <w:rsid w:val="00BB7E65"/>
    <w:rsid w:val="00BC02A0"/>
    <w:rsid w:val="00BC4C2E"/>
    <w:rsid w:val="00BD410B"/>
    <w:rsid w:val="00BD5C57"/>
    <w:rsid w:val="00BD6CEE"/>
    <w:rsid w:val="00BE1D20"/>
    <w:rsid w:val="00BE2928"/>
    <w:rsid w:val="00BE2B90"/>
    <w:rsid w:val="00BE5267"/>
    <w:rsid w:val="00BE7CE5"/>
    <w:rsid w:val="00C0010F"/>
    <w:rsid w:val="00C017B9"/>
    <w:rsid w:val="00C03488"/>
    <w:rsid w:val="00C07AAD"/>
    <w:rsid w:val="00C10E47"/>
    <w:rsid w:val="00C13B96"/>
    <w:rsid w:val="00C15496"/>
    <w:rsid w:val="00C1681B"/>
    <w:rsid w:val="00C235B5"/>
    <w:rsid w:val="00C2509B"/>
    <w:rsid w:val="00C35F53"/>
    <w:rsid w:val="00C3659E"/>
    <w:rsid w:val="00C36FAA"/>
    <w:rsid w:val="00C46060"/>
    <w:rsid w:val="00C46271"/>
    <w:rsid w:val="00C54776"/>
    <w:rsid w:val="00C61293"/>
    <w:rsid w:val="00C854F8"/>
    <w:rsid w:val="00C85653"/>
    <w:rsid w:val="00C86DCB"/>
    <w:rsid w:val="00C931FC"/>
    <w:rsid w:val="00C941C0"/>
    <w:rsid w:val="00CA55CC"/>
    <w:rsid w:val="00CB6EDA"/>
    <w:rsid w:val="00CB718A"/>
    <w:rsid w:val="00CC3FF5"/>
    <w:rsid w:val="00CC4150"/>
    <w:rsid w:val="00CD5C66"/>
    <w:rsid w:val="00CE5471"/>
    <w:rsid w:val="00CE561B"/>
    <w:rsid w:val="00CF73DC"/>
    <w:rsid w:val="00D03624"/>
    <w:rsid w:val="00D04D02"/>
    <w:rsid w:val="00D056BB"/>
    <w:rsid w:val="00D10CCA"/>
    <w:rsid w:val="00D11ACE"/>
    <w:rsid w:val="00D15898"/>
    <w:rsid w:val="00D15CC9"/>
    <w:rsid w:val="00D30138"/>
    <w:rsid w:val="00D33C0F"/>
    <w:rsid w:val="00D4294C"/>
    <w:rsid w:val="00D43700"/>
    <w:rsid w:val="00D445A4"/>
    <w:rsid w:val="00D45193"/>
    <w:rsid w:val="00D51607"/>
    <w:rsid w:val="00D651D8"/>
    <w:rsid w:val="00D7020D"/>
    <w:rsid w:val="00D73997"/>
    <w:rsid w:val="00D77CE5"/>
    <w:rsid w:val="00D92F54"/>
    <w:rsid w:val="00D9653E"/>
    <w:rsid w:val="00DA3555"/>
    <w:rsid w:val="00DA68C1"/>
    <w:rsid w:val="00DB1DBD"/>
    <w:rsid w:val="00DB613B"/>
    <w:rsid w:val="00DC6E5F"/>
    <w:rsid w:val="00DD21AD"/>
    <w:rsid w:val="00DD2E6A"/>
    <w:rsid w:val="00DF05B1"/>
    <w:rsid w:val="00E0281D"/>
    <w:rsid w:val="00E16EBF"/>
    <w:rsid w:val="00E2061B"/>
    <w:rsid w:val="00E21F9A"/>
    <w:rsid w:val="00E30440"/>
    <w:rsid w:val="00E40EE4"/>
    <w:rsid w:val="00E420BD"/>
    <w:rsid w:val="00E4620D"/>
    <w:rsid w:val="00E50E03"/>
    <w:rsid w:val="00E51329"/>
    <w:rsid w:val="00E514B9"/>
    <w:rsid w:val="00E628B3"/>
    <w:rsid w:val="00E702F7"/>
    <w:rsid w:val="00E716FF"/>
    <w:rsid w:val="00E83283"/>
    <w:rsid w:val="00E856D1"/>
    <w:rsid w:val="00E877CE"/>
    <w:rsid w:val="00E906E2"/>
    <w:rsid w:val="00E93599"/>
    <w:rsid w:val="00E96AA3"/>
    <w:rsid w:val="00EC2486"/>
    <w:rsid w:val="00EC61BD"/>
    <w:rsid w:val="00ED5889"/>
    <w:rsid w:val="00ED7AB9"/>
    <w:rsid w:val="00EE5BBE"/>
    <w:rsid w:val="00EF26A0"/>
    <w:rsid w:val="00EF58EB"/>
    <w:rsid w:val="00EF5DE3"/>
    <w:rsid w:val="00F0002B"/>
    <w:rsid w:val="00F03679"/>
    <w:rsid w:val="00F10D23"/>
    <w:rsid w:val="00F226B7"/>
    <w:rsid w:val="00F23656"/>
    <w:rsid w:val="00F27E74"/>
    <w:rsid w:val="00F33D72"/>
    <w:rsid w:val="00F4050A"/>
    <w:rsid w:val="00F44A25"/>
    <w:rsid w:val="00F46177"/>
    <w:rsid w:val="00F56E60"/>
    <w:rsid w:val="00F64880"/>
    <w:rsid w:val="00F65431"/>
    <w:rsid w:val="00F65492"/>
    <w:rsid w:val="00F7000E"/>
    <w:rsid w:val="00F77093"/>
    <w:rsid w:val="00F8262E"/>
    <w:rsid w:val="00FA05B3"/>
    <w:rsid w:val="00FA5C31"/>
    <w:rsid w:val="00FA6AB7"/>
    <w:rsid w:val="00FB0705"/>
    <w:rsid w:val="00FD018C"/>
    <w:rsid w:val="00FD26BA"/>
    <w:rsid w:val="00FD43A5"/>
    <w:rsid w:val="00FE1448"/>
    <w:rsid w:val="00FE2BD4"/>
    <w:rsid w:val="00FF01ED"/>
    <w:rsid w:val="00FF0FE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68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749D"/>
    <w:pPr>
      <w:ind w:left="567" w:hanging="567"/>
    </w:pPr>
    <w:rPr>
      <w:rFonts w:ascii="Verdana" w:hAnsi="Verdana"/>
      <w:lang w:eastAsia="nl-NL"/>
    </w:rPr>
  </w:style>
  <w:style w:type="paragraph" w:styleId="Kop1">
    <w:name w:val="heading 1"/>
    <w:basedOn w:val="Standaard"/>
    <w:next w:val="Standaard"/>
    <w:link w:val="Kop1Char"/>
    <w:uiPriority w:val="9"/>
    <w:qFormat/>
    <w:rsid w:val="000824C7"/>
    <w:pPr>
      <w:keepNext/>
      <w:spacing w:before="360" w:after="240"/>
      <w:outlineLvl w:val="0"/>
    </w:pPr>
    <w:rPr>
      <w:rFonts w:eastAsia="Times New Roman" w:cs="Times New Roman"/>
      <w:b/>
      <w:bCs/>
      <w:kern w:val="32"/>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24C7"/>
    <w:rPr>
      <w:rFonts w:ascii="Verdana" w:eastAsia="Times New Roman" w:hAnsi="Verdana" w:cs="Times New Roman"/>
      <w:b/>
      <w:bCs/>
      <w:kern w:val="32"/>
      <w:lang w:eastAsia="nl-NL"/>
    </w:rPr>
  </w:style>
  <w:style w:type="paragraph" w:styleId="Geenafstand">
    <w:name w:val="No Spacing"/>
    <w:basedOn w:val="Standaard"/>
    <w:uiPriority w:val="1"/>
    <w:unhideWhenUsed/>
    <w:qFormat/>
    <w:rsid w:val="00D51607"/>
    <w:pPr>
      <w:ind w:left="0" w:firstLine="0"/>
    </w:p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73653F"/>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rPr>
      <w:rFonts w:ascii="Verdana" w:hAnsi="Verdana"/>
      <w:lang w:eastAsia="nl-NL"/>
    </w:rPr>
  </w:style>
  <w:style w:type="character" w:customStyle="1" w:styleId="LijstmetopsommingstekensChar">
    <w:name w:val="Lijst met opsommingstekens Char"/>
    <w:basedOn w:val="LijstalineaChar"/>
    <w:link w:val="Lijstmetopsommingstekens"/>
    <w:uiPriority w:val="10"/>
    <w:rsid w:val="002E0FD2"/>
    <w:rPr>
      <w:rFonts w:ascii="Verdana" w:hAnsi="Verdana"/>
      <w:lang w:eastAsia="nl-NL"/>
    </w:rPr>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ind w:left="567" w:hanging="567"/>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paragraph" w:styleId="Tekstopmerking">
    <w:name w:val="annotation text"/>
    <w:basedOn w:val="Standaard"/>
    <w:link w:val="TekstopmerkingChar"/>
    <w:uiPriority w:val="99"/>
    <w:unhideWhenUsed/>
    <w:rsid w:val="00A429E2"/>
    <w:pPr>
      <w:spacing w:after="160"/>
    </w:pPr>
    <w:rPr>
      <w:rFonts w:ascii="Calibri" w:eastAsia="Calibri" w:hAnsi="Calibri" w:cs="Arial"/>
      <w:sz w:val="20"/>
      <w:szCs w:val="20"/>
    </w:rPr>
  </w:style>
  <w:style w:type="character" w:customStyle="1" w:styleId="TekstopmerkingChar">
    <w:name w:val="Tekst opmerking Char"/>
    <w:basedOn w:val="Standaardalinea-lettertype"/>
    <w:link w:val="Tekstopmerking"/>
    <w:uiPriority w:val="99"/>
    <w:rsid w:val="00A429E2"/>
    <w:rPr>
      <w:rFonts w:ascii="Calibri" w:eastAsia="Calibri" w:hAnsi="Calibri" w:cs="Arial"/>
      <w:sz w:val="20"/>
      <w:szCs w:val="20"/>
    </w:rPr>
  </w:style>
  <w:style w:type="character" w:styleId="Verwijzingopmerking">
    <w:name w:val="annotation reference"/>
    <w:basedOn w:val="Standaardalinea-lettertype"/>
    <w:uiPriority w:val="99"/>
    <w:semiHidden/>
    <w:unhideWhenUsed/>
    <w:rsid w:val="00A429E2"/>
    <w:rPr>
      <w:sz w:val="16"/>
      <w:szCs w:val="16"/>
    </w:rPr>
  </w:style>
  <w:style w:type="paragraph" w:styleId="Onderwerpvanopmerking">
    <w:name w:val="annotation subject"/>
    <w:basedOn w:val="Tekstopmerking"/>
    <w:next w:val="Tekstopmerking"/>
    <w:link w:val="OnderwerpvanopmerkingChar"/>
    <w:uiPriority w:val="99"/>
    <w:semiHidden/>
    <w:unhideWhenUsed/>
    <w:rsid w:val="007D18DD"/>
    <w:pPr>
      <w:spacing w:after="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7D18DD"/>
    <w:rPr>
      <w:rFonts w:ascii="Calibri" w:eastAsia="Calibri" w:hAnsi="Calibri" w:cs="Arial"/>
      <w:b/>
      <w:bCs/>
      <w:sz w:val="20"/>
      <w:szCs w:val="20"/>
    </w:rPr>
  </w:style>
  <w:style w:type="character" w:styleId="Hyperlink">
    <w:name w:val="Hyperlink"/>
    <w:basedOn w:val="Standaardalinea-lettertype"/>
    <w:uiPriority w:val="99"/>
    <w:unhideWhenUsed/>
    <w:rsid w:val="002F1D9A"/>
    <w:rPr>
      <w:color w:val="007BC7"/>
      <w:u w:val="single"/>
    </w:rPr>
  </w:style>
  <w:style w:type="paragraph" w:styleId="Revisie">
    <w:name w:val="Revision"/>
    <w:hidden/>
    <w:uiPriority w:val="99"/>
    <w:semiHidden/>
    <w:rsid w:val="0082688A"/>
  </w:style>
  <w:style w:type="paragraph" w:styleId="Inhopg1">
    <w:name w:val="toc 1"/>
    <w:basedOn w:val="Standaard"/>
    <w:next w:val="Standaard"/>
    <w:autoRedefine/>
    <w:uiPriority w:val="39"/>
    <w:unhideWhenUsed/>
    <w:rsid w:val="006E0181"/>
    <w:pPr>
      <w:spacing w:after="100"/>
    </w:pPr>
  </w:style>
  <w:style w:type="character" w:styleId="GevolgdeHyperlink">
    <w:name w:val="FollowedHyperlink"/>
    <w:basedOn w:val="Standaardalinea-lettertype"/>
    <w:uiPriority w:val="99"/>
    <w:semiHidden/>
    <w:unhideWhenUsed/>
    <w:rsid w:val="007D3E49"/>
    <w:rPr>
      <w:color w:val="A900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8728">
      <w:bodyDiv w:val="1"/>
      <w:marLeft w:val="0"/>
      <w:marRight w:val="0"/>
      <w:marTop w:val="0"/>
      <w:marBottom w:val="0"/>
      <w:divBdr>
        <w:top w:val="none" w:sz="0" w:space="0" w:color="auto"/>
        <w:left w:val="none" w:sz="0" w:space="0" w:color="auto"/>
        <w:bottom w:val="none" w:sz="0" w:space="0" w:color="auto"/>
        <w:right w:val="none" w:sz="0" w:space="0" w:color="auto"/>
      </w:divBdr>
    </w:div>
    <w:div w:id="135029039">
      <w:bodyDiv w:val="1"/>
      <w:marLeft w:val="0"/>
      <w:marRight w:val="0"/>
      <w:marTop w:val="0"/>
      <w:marBottom w:val="0"/>
      <w:divBdr>
        <w:top w:val="none" w:sz="0" w:space="0" w:color="auto"/>
        <w:left w:val="none" w:sz="0" w:space="0" w:color="auto"/>
        <w:bottom w:val="none" w:sz="0" w:space="0" w:color="auto"/>
        <w:right w:val="none" w:sz="0" w:space="0" w:color="auto"/>
      </w:divBdr>
    </w:div>
    <w:div w:id="260064354">
      <w:bodyDiv w:val="1"/>
      <w:marLeft w:val="0"/>
      <w:marRight w:val="0"/>
      <w:marTop w:val="0"/>
      <w:marBottom w:val="0"/>
      <w:divBdr>
        <w:top w:val="none" w:sz="0" w:space="0" w:color="auto"/>
        <w:left w:val="none" w:sz="0" w:space="0" w:color="auto"/>
        <w:bottom w:val="none" w:sz="0" w:space="0" w:color="auto"/>
        <w:right w:val="none" w:sz="0" w:space="0" w:color="auto"/>
      </w:divBdr>
    </w:div>
    <w:div w:id="558130843">
      <w:bodyDiv w:val="1"/>
      <w:marLeft w:val="0"/>
      <w:marRight w:val="0"/>
      <w:marTop w:val="0"/>
      <w:marBottom w:val="0"/>
      <w:divBdr>
        <w:top w:val="none" w:sz="0" w:space="0" w:color="auto"/>
        <w:left w:val="none" w:sz="0" w:space="0" w:color="auto"/>
        <w:bottom w:val="none" w:sz="0" w:space="0" w:color="auto"/>
        <w:right w:val="none" w:sz="0" w:space="0" w:color="auto"/>
      </w:divBdr>
    </w:div>
    <w:div w:id="562184195">
      <w:bodyDiv w:val="1"/>
      <w:marLeft w:val="0"/>
      <w:marRight w:val="0"/>
      <w:marTop w:val="0"/>
      <w:marBottom w:val="0"/>
      <w:divBdr>
        <w:top w:val="none" w:sz="0" w:space="0" w:color="auto"/>
        <w:left w:val="none" w:sz="0" w:space="0" w:color="auto"/>
        <w:bottom w:val="none" w:sz="0" w:space="0" w:color="auto"/>
        <w:right w:val="none" w:sz="0" w:space="0" w:color="auto"/>
      </w:divBdr>
    </w:div>
    <w:div w:id="1049110922">
      <w:bodyDiv w:val="1"/>
      <w:marLeft w:val="0"/>
      <w:marRight w:val="0"/>
      <w:marTop w:val="0"/>
      <w:marBottom w:val="0"/>
      <w:divBdr>
        <w:top w:val="none" w:sz="0" w:space="0" w:color="auto"/>
        <w:left w:val="none" w:sz="0" w:space="0" w:color="auto"/>
        <w:bottom w:val="none" w:sz="0" w:space="0" w:color="auto"/>
        <w:right w:val="none" w:sz="0" w:space="0" w:color="auto"/>
      </w:divBdr>
    </w:div>
    <w:div w:id="1437478574">
      <w:bodyDiv w:val="1"/>
      <w:marLeft w:val="0"/>
      <w:marRight w:val="0"/>
      <w:marTop w:val="0"/>
      <w:marBottom w:val="0"/>
      <w:divBdr>
        <w:top w:val="none" w:sz="0" w:space="0" w:color="auto"/>
        <w:left w:val="none" w:sz="0" w:space="0" w:color="auto"/>
        <w:bottom w:val="none" w:sz="0" w:space="0" w:color="auto"/>
        <w:right w:val="none" w:sz="0" w:space="0" w:color="auto"/>
      </w:divBdr>
    </w:div>
    <w:div w:id="1603876143">
      <w:bodyDiv w:val="1"/>
      <w:marLeft w:val="0"/>
      <w:marRight w:val="0"/>
      <w:marTop w:val="0"/>
      <w:marBottom w:val="0"/>
      <w:divBdr>
        <w:top w:val="none" w:sz="0" w:space="0" w:color="auto"/>
        <w:left w:val="none" w:sz="0" w:space="0" w:color="auto"/>
        <w:bottom w:val="none" w:sz="0" w:space="0" w:color="auto"/>
        <w:right w:val="none" w:sz="0" w:space="0" w:color="auto"/>
      </w:divBdr>
    </w:div>
    <w:div w:id="1615475141">
      <w:bodyDiv w:val="1"/>
      <w:marLeft w:val="0"/>
      <w:marRight w:val="0"/>
      <w:marTop w:val="0"/>
      <w:marBottom w:val="0"/>
      <w:divBdr>
        <w:top w:val="none" w:sz="0" w:space="0" w:color="auto"/>
        <w:left w:val="none" w:sz="0" w:space="0" w:color="auto"/>
        <w:bottom w:val="none" w:sz="0" w:space="0" w:color="auto"/>
        <w:right w:val="none" w:sz="0" w:space="0" w:color="auto"/>
      </w:divBdr>
    </w:div>
    <w:div w:id="1775589851">
      <w:bodyDiv w:val="1"/>
      <w:marLeft w:val="0"/>
      <w:marRight w:val="0"/>
      <w:marTop w:val="0"/>
      <w:marBottom w:val="0"/>
      <w:divBdr>
        <w:top w:val="none" w:sz="0" w:space="0" w:color="auto"/>
        <w:left w:val="none" w:sz="0" w:space="0" w:color="auto"/>
        <w:bottom w:val="none" w:sz="0" w:space="0" w:color="auto"/>
        <w:right w:val="none" w:sz="0" w:space="0" w:color="auto"/>
      </w:divBdr>
    </w:div>
    <w:div w:id="1867210324">
      <w:bodyDiv w:val="1"/>
      <w:marLeft w:val="0"/>
      <w:marRight w:val="0"/>
      <w:marTop w:val="0"/>
      <w:marBottom w:val="0"/>
      <w:divBdr>
        <w:top w:val="none" w:sz="0" w:space="0" w:color="auto"/>
        <w:left w:val="none" w:sz="0" w:space="0" w:color="auto"/>
        <w:bottom w:val="none" w:sz="0" w:space="0" w:color="auto"/>
        <w:right w:val="none" w:sz="0" w:space="0" w:color="auto"/>
      </w:divBdr>
    </w:div>
    <w:div w:id="2057075934">
      <w:bodyDiv w:val="1"/>
      <w:marLeft w:val="0"/>
      <w:marRight w:val="0"/>
      <w:marTop w:val="0"/>
      <w:marBottom w:val="0"/>
      <w:divBdr>
        <w:top w:val="none" w:sz="0" w:space="0" w:color="auto"/>
        <w:left w:val="none" w:sz="0" w:space="0" w:color="auto"/>
        <w:bottom w:val="none" w:sz="0" w:space="0" w:color="auto"/>
        <w:right w:val="none" w:sz="0" w:space="0" w:color="auto"/>
      </w:divBdr>
    </w:div>
    <w:div w:id="208668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umguides.org/docs/scrumguide/v2017/2017-Scrum-Guide-Dutch.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1FD6B-769E-43A8-93A4-14C81AB3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2672</Words>
  <Characters>14699</Characters>
  <Application>Microsoft Office Word</Application>
  <DocSecurity>0</DocSecurity>
  <Lines>122</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2023-08-04T12:38:00Z</dcterms:created>
  <dcterms:modified xsi:type="dcterms:W3CDTF">2023-08-04T12:38:00Z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MSIP_Label_acd88dc2-102c-473d-aa45-6161565a3617_Enabled">
    <vt:lpwstr>true</vt:lpwstr>
  </property>
  <property fmtid="{D5CDD505-2E9C-101B-9397-08002B2CF9AE}" pid="6" name="MSIP_Label_acd88dc2-102c-473d-aa45-6161565a3617_SetDate">
    <vt:lpwstr>2023-08-04T12:37:01Z</vt:lpwstr>
  </property>
  <property fmtid="{D5CDD505-2E9C-101B-9397-08002B2CF9AE}" pid="7" name="MSIP_Label_acd88dc2-102c-473d-aa45-6161565a3617_Method">
    <vt:lpwstr>Standard</vt:lpwstr>
  </property>
  <property fmtid="{D5CDD505-2E9C-101B-9397-08002B2CF9AE}" pid="8" name="MSIP_Label_acd88dc2-102c-473d-aa45-6161565a3617_Name">
    <vt:lpwstr>Sublabel-Interngebruik-onversleuteld</vt:lpwstr>
  </property>
  <property fmtid="{D5CDD505-2E9C-101B-9397-08002B2CF9AE}" pid="9" name="MSIP_Label_acd88dc2-102c-473d-aa45-6161565a3617_SiteId">
    <vt:lpwstr>1321633e-f6b9-44e2-a44f-59b9d264ecb7</vt:lpwstr>
  </property>
  <property fmtid="{D5CDD505-2E9C-101B-9397-08002B2CF9AE}" pid="10" name="MSIP_Label_acd88dc2-102c-473d-aa45-6161565a3617_ActionId">
    <vt:lpwstr>5addda55-6281-468b-af68-2c3a2d8f52d4</vt:lpwstr>
  </property>
  <property fmtid="{D5CDD505-2E9C-101B-9397-08002B2CF9AE}" pid="11" name="MSIP_Label_acd88dc2-102c-473d-aa45-6161565a3617_ContentBits">
    <vt:lpwstr>0</vt:lpwstr>
  </property>
</Properties>
</file>