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8297" w14:textId="34E292CA" w:rsidR="00403359" w:rsidRDefault="00E777AF" w:rsidP="00BD0E2D">
      <w:pPr>
        <w:pStyle w:val="Kop1"/>
        <w:rPr>
          <w:rFonts w:ascii="Verdana" w:hAnsi="Verdana"/>
          <w:sz w:val="20"/>
          <w:szCs w:val="20"/>
        </w:rPr>
      </w:pPr>
      <w:bookmarkStart w:id="0" w:name="_Toc130480768"/>
      <w:r>
        <w:rPr>
          <w:rFonts w:ascii="Verdana" w:hAnsi="Verdana"/>
          <w:noProof/>
          <w:sz w:val="20"/>
          <w:szCs w:val="20"/>
        </w:rPr>
        <mc:AlternateContent>
          <mc:Choice Requires="wps">
            <w:drawing>
              <wp:anchor distT="0" distB="0" distL="114300" distR="114300" simplePos="0" relativeHeight="251657728" behindDoc="0" locked="0" layoutInCell="1" allowOverlap="1" wp14:anchorId="1F6EC94F" wp14:editId="07326F40">
                <wp:simplePos x="0" y="0"/>
                <wp:positionH relativeFrom="column">
                  <wp:posOffset>50165</wp:posOffset>
                </wp:positionH>
                <wp:positionV relativeFrom="paragraph">
                  <wp:posOffset>-116205</wp:posOffset>
                </wp:positionV>
                <wp:extent cx="5600700" cy="3359785"/>
                <wp:effectExtent l="6985" t="1206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359785"/>
                        </a:xfrm>
                        <a:prstGeom prst="rect">
                          <a:avLst/>
                        </a:prstGeom>
                        <a:solidFill>
                          <a:srgbClr val="FFFFFF"/>
                        </a:solidFill>
                        <a:ln w="9525">
                          <a:solidFill>
                            <a:srgbClr val="000000"/>
                          </a:solidFill>
                          <a:miter lim="800000"/>
                          <a:headEnd/>
                          <a:tailEnd/>
                        </a:ln>
                      </wps:spPr>
                      <wps:txbx>
                        <w:txbxContent>
                          <w:p w14:paraId="795CE00A" w14:textId="77777777" w:rsidR="00403359"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rPr>
                            </w:pPr>
                            <w:r>
                              <w:rPr>
                                <w:rFonts w:ascii="Verdana" w:hAnsi="Verdana"/>
                                <w:b/>
                                <w:bCs/>
                                <w:sz w:val="16"/>
                                <w:szCs w:val="16"/>
                                <w:u w:val="single"/>
                              </w:rPr>
                              <w:t xml:space="preserve">Instructions: </w:t>
                            </w:r>
                          </w:p>
                          <w:p w14:paraId="7B0BCB27" w14:textId="77777777" w:rsidR="00EE47C1"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p>
                          <w:p w14:paraId="0E7D8A30" w14:textId="77777777" w:rsidR="00EE47C1"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 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Administration, as it does for staff employed on the basis of a permanent or temporary appointment. For more information, see the explanatory notes on the model framework agreement.</w:t>
                            </w:r>
                          </w:p>
                          <w:p w14:paraId="012B0006" w14:textId="77777777" w:rsidR="002A79CB" w:rsidRPr="007E460B"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 For the purposes of article 4.4 of this Agreement:</w:t>
                            </w:r>
                          </w:p>
                          <w:p w14:paraId="69AC9C93" w14:textId="77777777" w:rsidR="002A79CB" w:rsidRPr="007E460B"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In its judgments of 19 December 2018, C-216/17 (</w:t>
                            </w:r>
                            <w:proofErr w:type="spellStart"/>
                            <w:r>
                              <w:rPr>
                                <w:rFonts w:ascii="Verdana" w:hAnsi="Verdana"/>
                                <w:b/>
                                <w:i/>
                                <w:iCs/>
                                <w:color w:val="000000"/>
                                <w:sz w:val="16"/>
                                <w:szCs w:val="16"/>
                              </w:rPr>
                              <w:t>Autorità</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Garante</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della</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Concorrenza</w:t>
                            </w:r>
                            <w:proofErr w:type="spellEnd"/>
                            <w:r>
                              <w:rPr>
                                <w:rFonts w:ascii="Verdana" w:hAnsi="Verdana"/>
                                <w:b/>
                                <w:i/>
                                <w:iCs/>
                                <w:color w:val="000000"/>
                                <w:sz w:val="16"/>
                                <w:szCs w:val="16"/>
                              </w:rPr>
                              <w:t xml:space="preserve"> e del Mercato – Antitrust </w:t>
                            </w:r>
                            <w:proofErr w:type="spellStart"/>
                            <w:r>
                              <w:rPr>
                                <w:rFonts w:ascii="Verdana" w:hAnsi="Verdana"/>
                                <w:b/>
                                <w:i/>
                                <w:iCs/>
                                <w:color w:val="000000"/>
                                <w:sz w:val="16"/>
                                <w:szCs w:val="16"/>
                              </w:rPr>
                              <w:t>en</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Coopservice</w:t>
                            </w:r>
                            <w:proofErr w:type="spellEnd"/>
                            <w:r>
                              <w:rPr>
                                <w:rFonts w:ascii="Verdana" w:hAnsi="Verdana"/>
                                <w:b/>
                                <w:color w:val="000000"/>
                                <w:sz w:val="16"/>
                                <w:szCs w:val="16"/>
                              </w:rPr>
                              <w:t>) and 17 June 2021, C-23/20 (</w:t>
                            </w:r>
                            <w:r>
                              <w:rPr>
                                <w:rFonts w:ascii="Verdana" w:hAnsi="Verdana"/>
                                <w:b/>
                                <w:i/>
                                <w:iCs/>
                                <w:color w:val="000000"/>
                                <w:sz w:val="16"/>
                                <w:szCs w:val="16"/>
                              </w:rPr>
                              <w:t xml:space="preserve">Simonsen &amp; </w:t>
                            </w:r>
                            <w:proofErr w:type="spellStart"/>
                            <w:r>
                              <w:rPr>
                                <w:rFonts w:ascii="Verdana" w:hAnsi="Verdana"/>
                                <w:b/>
                                <w:i/>
                                <w:iCs/>
                                <w:color w:val="000000"/>
                                <w:sz w:val="16"/>
                                <w:szCs w:val="16"/>
                              </w:rPr>
                              <w:t>Weel</w:t>
                            </w:r>
                            <w:proofErr w:type="spellEnd"/>
                            <w:r>
                              <w:rPr>
                                <w:rFonts w:ascii="Verdana" w:hAnsi="Verdana"/>
                                <w:b/>
                                <w:color w:val="000000"/>
                                <w:sz w:val="16"/>
                                <w:szCs w:val="16"/>
                              </w:rPr>
                              <w:t xml:space="preserve">), the Court of Justice of the European Union ruled that if the maximum value or quantity stated in the tender documents has been reached, the framework agreement no longer has any effect. This means that no new Call-off Contracts may then be placed, unless one of the grounds for exception in sections 2.163a to 2.163g of the Public Procurement Act can be invoked. </w:t>
                            </w:r>
                          </w:p>
                          <w:p w14:paraId="1DFFAEAA" w14:textId="77777777" w:rsidR="002A79CB" w:rsidRPr="007E460B"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This paragraph is included in case the term of the Framework Agreement referred to in article 4 has not yet expired but 1) the maximum value or quantity has been reached, or 2) the maximum value or quantity may be exceeded by entering into a new Call-off Contract. In both cases, the Contracting Authority may terminate the Framework Agreement unilaterally in writing. This does not entitle the Counterparty to compensation.</w:t>
                            </w:r>
                          </w:p>
                          <w:p w14:paraId="74DC66FA" w14:textId="77777777" w:rsidR="002A79CB" w:rsidRPr="002A79CB" w:rsidRDefault="002A79CB" w:rsidP="002A79CB">
                            <w:pPr>
                              <w:spacing w:after="0" w:line="240" w:lineRule="auto"/>
                              <w:rPr>
                                <w:rFonts w:ascii="Verdana" w:hAnsi="Verdana" w:cs="Arial"/>
                                <w:b/>
                                <w:color w:val="000000"/>
                                <w:sz w:val="16"/>
                                <w:szCs w:val="16"/>
                                <w:lang w:val="nl"/>
                              </w:rPr>
                            </w:pPr>
                          </w:p>
                          <w:p w14:paraId="46678001"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Arial"/>
                                <w:b/>
                                <w:sz w:val="16"/>
                                <w:szCs w:val="16"/>
                                <w:lang w:val="nl"/>
                              </w:rPr>
                            </w:pPr>
                          </w:p>
                          <w:p w14:paraId="0BA67185"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rPr>
                            </w:pPr>
                            <w:r>
                              <w:rPr>
                                <w:rFonts w:ascii="Verdana" w:hAnsi="Verdana"/>
                                <w:b/>
                                <w:sz w:val="16"/>
                                <w:szCs w:val="16"/>
                              </w:rPr>
                              <w:t>NB: Delete these instructions before using the Agreement.</w:t>
                            </w:r>
                          </w:p>
                          <w:p w14:paraId="0B5DB5EA" w14:textId="77777777" w:rsidR="00403359" w:rsidRPr="006608DE" w:rsidRDefault="00403359" w:rsidP="00403359">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EC94F" id="_x0000_t202" coordsize="21600,21600" o:spt="202" path="m,l,21600r21600,l21600,xe">
                <v:stroke joinstyle="miter"/>
                <v:path gradientshapeok="t" o:connecttype="rect"/>
              </v:shapetype>
              <v:shape id="Text Box 2" o:spid="_x0000_s1026" type="#_x0000_t202" style="position:absolute;margin-left:3.95pt;margin-top:-9.15pt;width:441pt;height:2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">
                <v:textbox>
                  <w:txbxContent>
                    <w:p w14:paraId="795CE00A" w14:textId="77777777" w:rsidR="00403359"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rPr>
                      </w:pPr>
                      <w:r>
                        <w:rPr>
                          <w:rFonts w:ascii="Verdana" w:hAnsi="Verdana"/>
                          <w:b/>
                          <w:bCs/>
                          <w:sz w:val="16"/>
                          <w:szCs w:val="16"/>
                          <w:u w:val="single"/>
                        </w:rPr>
                        <w:t xml:space="preserve">Instructions: </w:t>
                      </w:r>
                    </w:p>
                    <w:p w14:paraId="7B0BCB27" w14:textId="77777777" w:rsidR="00EE47C1"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p>
                    <w:p w14:paraId="0E7D8A30" w14:textId="77777777" w:rsidR="00EE47C1"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 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Administration, as it does for staff employed on the basis of a permanent or temporary appointment. For more information, see the explanatory notes on the model framework agreement.</w:t>
                      </w:r>
                    </w:p>
                    <w:p w14:paraId="012B0006" w14:textId="77777777" w:rsidR="002A79CB" w:rsidRPr="007E460B"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 For the purposes of article 4.4 of this Agreement:</w:t>
                      </w:r>
                    </w:p>
                    <w:p w14:paraId="69AC9C93" w14:textId="77777777" w:rsidR="002A79CB" w:rsidRPr="007E460B"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In its judgments of 19 December 2018, C-216/17 (</w:t>
                      </w:r>
                      <w:proofErr w:type="spellStart"/>
                      <w:r>
                        <w:rPr>
                          <w:rFonts w:ascii="Verdana" w:hAnsi="Verdana"/>
                          <w:b/>
                          <w:i/>
                          <w:iCs/>
                          <w:color w:val="000000"/>
                          <w:sz w:val="16"/>
                          <w:szCs w:val="16"/>
                        </w:rPr>
                        <w:t>Autorità</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Garante</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della</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Concorrenza</w:t>
                      </w:r>
                      <w:proofErr w:type="spellEnd"/>
                      <w:r>
                        <w:rPr>
                          <w:rFonts w:ascii="Verdana" w:hAnsi="Verdana"/>
                          <w:b/>
                          <w:i/>
                          <w:iCs/>
                          <w:color w:val="000000"/>
                          <w:sz w:val="16"/>
                          <w:szCs w:val="16"/>
                        </w:rPr>
                        <w:t xml:space="preserve"> e del Mercato – Antitrust </w:t>
                      </w:r>
                      <w:proofErr w:type="spellStart"/>
                      <w:r>
                        <w:rPr>
                          <w:rFonts w:ascii="Verdana" w:hAnsi="Verdana"/>
                          <w:b/>
                          <w:i/>
                          <w:iCs/>
                          <w:color w:val="000000"/>
                          <w:sz w:val="16"/>
                          <w:szCs w:val="16"/>
                        </w:rPr>
                        <w:t>en</w:t>
                      </w:r>
                      <w:proofErr w:type="spellEnd"/>
                      <w:r>
                        <w:rPr>
                          <w:rFonts w:ascii="Verdana" w:hAnsi="Verdana"/>
                          <w:b/>
                          <w:i/>
                          <w:iCs/>
                          <w:color w:val="000000"/>
                          <w:sz w:val="16"/>
                          <w:szCs w:val="16"/>
                        </w:rPr>
                        <w:t xml:space="preserve"> </w:t>
                      </w:r>
                      <w:proofErr w:type="spellStart"/>
                      <w:r>
                        <w:rPr>
                          <w:rFonts w:ascii="Verdana" w:hAnsi="Verdana"/>
                          <w:b/>
                          <w:i/>
                          <w:iCs/>
                          <w:color w:val="000000"/>
                          <w:sz w:val="16"/>
                          <w:szCs w:val="16"/>
                        </w:rPr>
                        <w:t>Coopservice</w:t>
                      </w:r>
                      <w:proofErr w:type="spellEnd"/>
                      <w:r>
                        <w:rPr>
                          <w:rFonts w:ascii="Verdana" w:hAnsi="Verdana"/>
                          <w:b/>
                          <w:color w:val="000000"/>
                          <w:sz w:val="16"/>
                          <w:szCs w:val="16"/>
                        </w:rPr>
                        <w:t>) and 17 June 2021, C-23/20 (</w:t>
                      </w:r>
                      <w:r>
                        <w:rPr>
                          <w:rFonts w:ascii="Verdana" w:hAnsi="Verdana"/>
                          <w:b/>
                          <w:i/>
                          <w:iCs/>
                          <w:color w:val="000000"/>
                          <w:sz w:val="16"/>
                          <w:szCs w:val="16"/>
                        </w:rPr>
                        <w:t xml:space="preserve">Simonsen &amp; </w:t>
                      </w:r>
                      <w:proofErr w:type="spellStart"/>
                      <w:r>
                        <w:rPr>
                          <w:rFonts w:ascii="Verdana" w:hAnsi="Verdana"/>
                          <w:b/>
                          <w:i/>
                          <w:iCs/>
                          <w:color w:val="000000"/>
                          <w:sz w:val="16"/>
                          <w:szCs w:val="16"/>
                        </w:rPr>
                        <w:t>Weel</w:t>
                      </w:r>
                      <w:proofErr w:type="spellEnd"/>
                      <w:r>
                        <w:rPr>
                          <w:rFonts w:ascii="Verdana" w:hAnsi="Verdana"/>
                          <w:b/>
                          <w:color w:val="000000"/>
                          <w:sz w:val="16"/>
                          <w:szCs w:val="16"/>
                        </w:rPr>
                        <w:t xml:space="preserve">), the Court of Justice of the European Union ruled that if the maximum value or quantity stated in the tender documents has been reached, the framework agreement no longer has any effect. This means that no new Call-off Contracts may then be placed, unless one of the grounds for exception in sections 2.163a to 2.163g of the Public Procurement Act can be invoked. </w:t>
                      </w:r>
                    </w:p>
                    <w:p w14:paraId="1DFFAEAA" w14:textId="77777777" w:rsidR="002A79CB" w:rsidRPr="007E460B" w:rsidRDefault="002A79CB" w:rsidP="002A79CB">
                      <w:pPr>
                        <w:spacing w:after="0" w:line="240" w:lineRule="auto"/>
                        <w:rPr>
                          <w:rFonts w:ascii="Verdana" w:hAnsi="Verdana" w:cs="Arial"/>
                          <w:b/>
                          <w:color w:val="000000"/>
                          <w:sz w:val="16"/>
                          <w:szCs w:val="16"/>
                        </w:rPr>
                      </w:pPr>
                      <w:r>
                        <w:rPr>
                          <w:rFonts w:ascii="Verdana" w:hAnsi="Verdana"/>
                          <w:b/>
                          <w:color w:val="000000"/>
                          <w:sz w:val="16"/>
                          <w:szCs w:val="16"/>
                        </w:rPr>
                        <w:t>This paragraph is included in case the term of the Framework Agreement referred to in article 4 has not yet expired but 1) the maximum value or quantity has been reached, or 2) the maximum value or quantity may be exceeded by entering into a new Call-off Contract. In both cases, the Contracting Authority may terminate the Framework Agreement unilaterally in writing. This does not entitle the Counterparty to compensation.</w:t>
                      </w:r>
                    </w:p>
                    <w:p w14:paraId="74DC66FA" w14:textId="77777777" w:rsidR="002A79CB" w:rsidRPr="002A79CB" w:rsidRDefault="002A79CB" w:rsidP="002A79CB">
                      <w:pPr>
                        <w:spacing w:after="0" w:line="240" w:lineRule="auto"/>
                        <w:rPr>
                          <w:rFonts w:ascii="Verdana" w:hAnsi="Verdana" w:cs="Arial"/>
                          <w:b/>
                          <w:color w:val="000000"/>
                          <w:sz w:val="16"/>
                          <w:szCs w:val="16"/>
                          <w:lang w:val="nl"/>
                        </w:rPr>
                      </w:pPr>
                    </w:p>
                    <w:p w14:paraId="46678001"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Arial"/>
                          <w:b/>
                          <w:sz w:val="16"/>
                          <w:szCs w:val="16"/>
                          <w:lang w:val="nl"/>
                        </w:rPr>
                      </w:pPr>
                    </w:p>
                    <w:p w14:paraId="0BA67185"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rPr>
                      </w:pPr>
                      <w:r>
                        <w:rPr>
                          <w:rFonts w:ascii="Verdana" w:hAnsi="Verdana"/>
                          <w:b/>
                          <w:sz w:val="16"/>
                          <w:szCs w:val="16"/>
                        </w:rPr>
                        <w:t>NB: Delete these instructions before using the Agreement.</w:t>
                      </w:r>
                    </w:p>
                    <w:p w14:paraId="0B5DB5EA" w14:textId="77777777" w:rsidR="00403359" w:rsidRPr="006608DE" w:rsidRDefault="00403359" w:rsidP="00403359">
                      <w:pPr>
                        <w:rPr>
                          <w:rFonts w:ascii="Verdana" w:hAnsi="Verdana"/>
                          <w:sz w:val="18"/>
                          <w:szCs w:val="18"/>
                          <w:lang w:val="nl"/>
                        </w:rPr>
                      </w:pPr>
                    </w:p>
                  </w:txbxContent>
                </v:textbox>
              </v:shape>
            </w:pict>
          </mc:Fallback>
        </mc:AlternateContent>
      </w:r>
      <w:bookmarkEnd w:id="0"/>
    </w:p>
    <w:p w14:paraId="78C68D0E" w14:textId="77777777" w:rsidR="00403359" w:rsidRDefault="00403359" w:rsidP="00BD0E2D">
      <w:pPr>
        <w:pStyle w:val="Kop1"/>
        <w:rPr>
          <w:rFonts w:ascii="Verdana" w:hAnsi="Verdana"/>
          <w:sz w:val="20"/>
          <w:szCs w:val="20"/>
        </w:rPr>
      </w:pPr>
    </w:p>
    <w:p w14:paraId="741E46BF" w14:textId="77777777" w:rsidR="00403359" w:rsidRDefault="00403359" w:rsidP="00BD0E2D">
      <w:pPr>
        <w:pStyle w:val="Kop1"/>
        <w:rPr>
          <w:rFonts w:ascii="Verdana" w:hAnsi="Verdana"/>
          <w:sz w:val="20"/>
          <w:szCs w:val="20"/>
        </w:rPr>
      </w:pPr>
    </w:p>
    <w:p w14:paraId="488D14EF" w14:textId="77777777" w:rsidR="00403359" w:rsidRDefault="00403359" w:rsidP="00BD0E2D">
      <w:pPr>
        <w:pStyle w:val="Kop1"/>
        <w:rPr>
          <w:rFonts w:ascii="Verdana" w:hAnsi="Verdana"/>
          <w:sz w:val="20"/>
          <w:szCs w:val="20"/>
        </w:rPr>
      </w:pPr>
    </w:p>
    <w:p w14:paraId="6768DEED" w14:textId="77777777" w:rsidR="00403359" w:rsidRDefault="00403359" w:rsidP="00BD0E2D">
      <w:pPr>
        <w:pStyle w:val="Kop1"/>
        <w:rPr>
          <w:rFonts w:ascii="Verdana" w:hAnsi="Verdana"/>
          <w:sz w:val="20"/>
          <w:szCs w:val="20"/>
        </w:rPr>
      </w:pPr>
    </w:p>
    <w:p w14:paraId="3D3D1C97" w14:textId="77777777" w:rsidR="00EE47C1" w:rsidRDefault="00EE47C1" w:rsidP="00EE47C1"/>
    <w:p w14:paraId="6C7E954F" w14:textId="77777777" w:rsidR="002A79CB" w:rsidRDefault="002A79CB" w:rsidP="00EE47C1"/>
    <w:p w14:paraId="4F32EA57" w14:textId="77777777" w:rsidR="002A79CB" w:rsidRDefault="002A79CB" w:rsidP="00EE47C1"/>
    <w:p w14:paraId="6F54E225" w14:textId="77777777" w:rsidR="002A79CB" w:rsidRDefault="002A79CB" w:rsidP="00EE47C1"/>
    <w:p w14:paraId="26749DC7" w14:textId="77777777" w:rsidR="002A79CB" w:rsidRDefault="002A79CB" w:rsidP="00EE47C1"/>
    <w:p w14:paraId="62D5AA57" w14:textId="574C0249" w:rsidR="002A79CB" w:rsidRPr="002A79CB" w:rsidRDefault="002A79CB" w:rsidP="00EE47C1">
      <w:pPr>
        <w:rPr>
          <w:rFonts w:ascii="Verdana" w:hAnsi="Verdana"/>
          <w:sz w:val="16"/>
          <w:szCs w:val="16"/>
        </w:rPr>
      </w:pPr>
      <w:r>
        <w:t xml:space="preserve">  </w:t>
      </w:r>
      <w:r>
        <w:rPr>
          <w:rFonts w:ascii="Verdana" w:hAnsi="Verdana"/>
          <w:sz w:val="16"/>
          <w:szCs w:val="16"/>
        </w:rPr>
        <w:t>(Date: September 2022)</w:t>
      </w:r>
    </w:p>
    <w:p w14:paraId="39F4BDA6" w14:textId="77777777" w:rsidR="002A79CB" w:rsidRPr="00EE47C1" w:rsidRDefault="002A79CB" w:rsidP="00EE47C1"/>
    <w:p w14:paraId="7D1C4E4F" w14:textId="2DFEE9C0" w:rsidR="000C1FF0" w:rsidRPr="00BD0E2D" w:rsidRDefault="000C1FF0" w:rsidP="00BD0E2D">
      <w:pPr>
        <w:pStyle w:val="Kop1"/>
        <w:rPr>
          <w:rFonts w:ascii="Verdana" w:hAnsi="Verdana"/>
          <w:sz w:val="20"/>
          <w:szCs w:val="20"/>
        </w:rPr>
      </w:pPr>
      <w:bookmarkStart w:id="1" w:name="_Toc130480769"/>
      <w:r>
        <w:rPr>
          <w:rFonts w:ascii="Verdana" w:hAnsi="Verdana"/>
          <w:sz w:val="20"/>
          <w:szCs w:val="20"/>
        </w:rPr>
        <w:t>ARBIT</w:t>
      </w:r>
      <w:r w:rsidR="00697221">
        <w:rPr>
          <w:rFonts w:ascii="Verdana" w:hAnsi="Verdana"/>
          <w:sz w:val="20"/>
          <w:szCs w:val="20"/>
        </w:rPr>
        <w:t>-</w:t>
      </w:r>
      <w:r>
        <w:rPr>
          <w:rFonts w:ascii="Verdana" w:hAnsi="Verdana"/>
          <w:sz w:val="20"/>
          <w:szCs w:val="20"/>
        </w:rPr>
        <w:t>2022 Model Framework Agreement</w:t>
      </w:r>
      <w:r w:rsidR="007152F4">
        <w:rPr>
          <w:rFonts w:ascii="Verdana" w:hAnsi="Verdana"/>
          <w:sz w:val="20"/>
          <w:szCs w:val="20"/>
        </w:rPr>
        <w:t xml:space="preserve"> </w:t>
      </w:r>
      <w:r>
        <w:rPr>
          <w:rFonts w:ascii="Verdana" w:hAnsi="Verdana"/>
          <w:sz w:val="20"/>
          <w:szCs w:val="20"/>
        </w:rPr>
        <w:t>concerning</w:t>
      </w:r>
      <w:bookmarkEnd w:id="1"/>
    </w:p>
    <w:p w14:paraId="41F53811" w14:textId="77777777" w:rsidR="000C1FF0" w:rsidRPr="00BD0E2D" w:rsidRDefault="000C1FF0" w:rsidP="00BD0E2D">
      <w:pPr>
        <w:spacing w:after="0" w:line="240" w:lineRule="auto"/>
        <w:rPr>
          <w:rFonts w:ascii="Verdana" w:hAnsi="Verdana"/>
          <w:b/>
          <w:sz w:val="20"/>
          <w:szCs w:val="20"/>
        </w:rPr>
      </w:pPr>
      <w:r>
        <w:rPr>
          <w:rFonts w:ascii="Verdana" w:hAnsi="Verdana"/>
          <w:b/>
          <w:sz w:val="20"/>
          <w:szCs w:val="20"/>
        </w:rPr>
        <w:t>&lt;description of the nature of the Deliverable&gt;</w:t>
      </w:r>
    </w:p>
    <w:p w14:paraId="7774B851" w14:textId="77777777" w:rsidR="000C1FF0" w:rsidRPr="00BD0E2D" w:rsidRDefault="000C1FF0" w:rsidP="00BD0E2D">
      <w:pPr>
        <w:spacing w:after="0" w:line="240" w:lineRule="auto"/>
        <w:rPr>
          <w:rFonts w:ascii="Verdana" w:hAnsi="Verdana"/>
          <w:sz w:val="18"/>
          <w:szCs w:val="18"/>
        </w:rPr>
      </w:pPr>
    </w:p>
    <w:p w14:paraId="53CFFAF4" w14:textId="77777777" w:rsidR="000C1FF0" w:rsidRPr="00BD0E2D" w:rsidRDefault="000C1FF0" w:rsidP="00BD0E2D">
      <w:pPr>
        <w:spacing w:after="0" w:line="240" w:lineRule="auto"/>
        <w:rPr>
          <w:rFonts w:ascii="Verdana" w:hAnsi="Verdana"/>
          <w:sz w:val="18"/>
          <w:szCs w:val="18"/>
        </w:rPr>
      </w:pPr>
    </w:p>
    <w:p w14:paraId="6CDB4279" w14:textId="77777777" w:rsidR="000C1FF0" w:rsidRPr="00BD0E2D" w:rsidRDefault="000C1FF0" w:rsidP="00BD0E2D">
      <w:pPr>
        <w:spacing w:after="0" w:line="240" w:lineRule="auto"/>
        <w:rPr>
          <w:rFonts w:ascii="Verdana" w:hAnsi="Verdana"/>
          <w:sz w:val="18"/>
          <w:szCs w:val="18"/>
        </w:rPr>
      </w:pPr>
    </w:p>
    <w:p w14:paraId="32920203" w14:textId="77777777" w:rsidR="000C1FF0" w:rsidRPr="00BD0E2D" w:rsidRDefault="000C1FF0" w:rsidP="00BD0E2D">
      <w:pPr>
        <w:spacing w:after="0" w:line="240" w:lineRule="auto"/>
        <w:rPr>
          <w:rFonts w:ascii="Verdana" w:hAnsi="Verdana"/>
          <w:sz w:val="18"/>
          <w:szCs w:val="18"/>
        </w:rPr>
      </w:pPr>
    </w:p>
    <w:p w14:paraId="2663EFDA" w14:textId="77777777" w:rsidR="000C1FF0" w:rsidRPr="00BD0E2D" w:rsidRDefault="000C1FF0" w:rsidP="00BD0E2D">
      <w:pPr>
        <w:spacing w:after="0" w:line="240" w:lineRule="auto"/>
        <w:rPr>
          <w:rFonts w:ascii="Verdana" w:hAnsi="Verdana"/>
          <w:b/>
          <w:sz w:val="18"/>
          <w:szCs w:val="18"/>
        </w:rPr>
      </w:pPr>
      <w:r>
        <w:rPr>
          <w:rFonts w:ascii="Verdana" w:hAnsi="Verdana"/>
          <w:b/>
          <w:sz w:val="18"/>
          <w:szCs w:val="18"/>
        </w:rPr>
        <w:t>The undersigned:</w:t>
      </w:r>
    </w:p>
    <w:p w14:paraId="62F551F7" w14:textId="77777777" w:rsidR="000C1FF0" w:rsidRPr="00BD0E2D" w:rsidRDefault="000C1FF0" w:rsidP="00BD0E2D">
      <w:pPr>
        <w:spacing w:after="0" w:line="240" w:lineRule="auto"/>
        <w:rPr>
          <w:rFonts w:ascii="Verdana" w:hAnsi="Verdana"/>
          <w:sz w:val="18"/>
          <w:szCs w:val="18"/>
        </w:rPr>
      </w:pPr>
    </w:p>
    <w:p w14:paraId="78564D6A" w14:textId="77777777" w:rsidR="000C1FF0" w:rsidRPr="00BD0E2D" w:rsidRDefault="000C1FF0" w:rsidP="00022A55">
      <w:pPr>
        <w:spacing w:after="0" w:line="240" w:lineRule="auto"/>
        <w:rPr>
          <w:rFonts w:ascii="Verdana" w:hAnsi="Verdana"/>
          <w:sz w:val="18"/>
          <w:szCs w:val="18"/>
        </w:rPr>
      </w:pPr>
      <w:r>
        <w:rPr>
          <w:rFonts w:ascii="Verdana" w:hAnsi="Verdana"/>
          <w:sz w:val="18"/>
          <w:szCs w:val="18"/>
        </w:rPr>
        <w:t>1. The State of the Netherlands, which has its seat in The Hague, represented by the Minister of/State Secretary for &lt;portfolio&gt;,</w:t>
      </w:r>
    </w:p>
    <w:p w14:paraId="21E4CFCC" w14:textId="77777777" w:rsidR="000C1FF0" w:rsidRPr="00BD0E2D" w:rsidRDefault="000C1FF0" w:rsidP="00022A55">
      <w:pPr>
        <w:spacing w:after="0" w:line="240" w:lineRule="auto"/>
        <w:rPr>
          <w:rFonts w:ascii="Verdana" w:hAnsi="Verdana"/>
          <w:sz w:val="18"/>
          <w:szCs w:val="18"/>
        </w:rPr>
      </w:pPr>
      <w:r>
        <w:rPr>
          <w:rFonts w:ascii="Verdana" w:hAnsi="Verdana"/>
          <w:sz w:val="18"/>
          <w:szCs w:val="18"/>
        </w:rPr>
        <w:t>legally represented in this matter by</w:t>
      </w:r>
    </w:p>
    <w:p w14:paraId="62049B5A" w14:textId="77777777" w:rsidR="000C1FF0" w:rsidRPr="00BD0E2D" w:rsidRDefault="000C1FF0" w:rsidP="00022A55">
      <w:pPr>
        <w:spacing w:after="0" w:line="240" w:lineRule="auto"/>
        <w:rPr>
          <w:rFonts w:ascii="Verdana" w:hAnsi="Verdana"/>
          <w:sz w:val="18"/>
          <w:szCs w:val="18"/>
        </w:rPr>
      </w:pPr>
      <w:r>
        <w:rPr>
          <w:rFonts w:ascii="Verdana" w:hAnsi="Verdana"/>
          <w:sz w:val="18"/>
          <w:szCs w:val="18"/>
        </w:rPr>
        <w:t>&lt;signatory’s name and position&gt;,</w:t>
      </w:r>
    </w:p>
    <w:p w14:paraId="65C8A828" w14:textId="77777777" w:rsidR="000C1FF0" w:rsidRPr="00BD0E2D" w:rsidRDefault="000C1FF0" w:rsidP="00022A55">
      <w:pPr>
        <w:spacing w:after="0" w:line="240" w:lineRule="auto"/>
        <w:rPr>
          <w:rFonts w:ascii="Verdana" w:hAnsi="Verdana"/>
          <w:sz w:val="18"/>
          <w:szCs w:val="18"/>
        </w:rPr>
      </w:pPr>
      <w:r>
        <w:rPr>
          <w:rFonts w:ascii="Verdana" w:hAnsi="Verdana"/>
          <w:sz w:val="18"/>
          <w:szCs w:val="18"/>
        </w:rPr>
        <w:t>hereinafter referred to as ‘the Contracting Authority’,</w:t>
      </w:r>
    </w:p>
    <w:p w14:paraId="5DE7E5EA" w14:textId="77777777" w:rsidR="000C1FF0" w:rsidRPr="00BD0E2D" w:rsidRDefault="000C1FF0" w:rsidP="00022A55">
      <w:pPr>
        <w:spacing w:after="0" w:line="240" w:lineRule="auto"/>
        <w:rPr>
          <w:rFonts w:ascii="Verdana" w:hAnsi="Verdana"/>
          <w:sz w:val="18"/>
          <w:szCs w:val="18"/>
        </w:rPr>
      </w:pPr>
    </w:p>
    <w:p w14:paraId="246C249E" w14:textId="77777777" w:rsidR="000C1FF0" w:rsidRPr="00BD0E2D" w:rsidRDefault="000C1FF0" w:rsidP="00022A55">
      <w:pPr>
        <w:spacing w:after="0" w:line="240" w:lineRule="auto"/>
        <w:rPr>
          <w:rFonts w:ascii="Verdana" w:hAnsi="Verdana"/>
          <w:sz w:val="18"/>
          <w:szCs w:val="18"/>
        </w:rPr>
      </w:pPr>
      <w:r>
        <w:rPr>
          <w:rFonts w:ascii="Verdana" w:hAnsi="Verdana"/>
          <w:sz w:val="18"/>
          <w:szCs w:val="18"/>
        </w:rPr>
        <w:t>and</w:t>
      </w:r>
    </w:p>
    <w:p w14:paraId="63C5765F" w14:textId="77777777" w:rsidR="000C1FF0" w:rsidRPr="00BD0E2D" w:rsidRDefault="000C1FF0" w:rsidP="00022A55">
      <w:pPr>
        <w:spacing w:after="0" w:line="240" w:lineRule="auto"/>
        <w:rPr>
          <w:rFonts w:ascii="Verdana" w:hAnsi="Verdana"/>
          <w:sz w:val="18"/>
          <w:szCs w:val="18"/>
        </w:rPr>
      </w:pPr>
    </w:p>
    <w:p w14:paraId="295B0476" w14:textId="77777777" w:rsidR="000C1FF0" w:rsidRPr="00BD0E2D" w:rsidRDefault="000C1FF0" w:rsidP="00022A55">
      <w:pPr>
        <w:spacing w:after="0" w:line="240" w:lineRule="auto"/>
        <w:rPr>
          <w:rFonts w:ascii="Verdana" w:hAnsi="Verdana"/>
          <w:sz w:val="18"/>
          <w:szCs w:val="18"/>
        </w:rPr>
      </w:pPr>
      <w:r>
        <w:rPr>
          <w:rFonts w:ascii="Verdana" w:hAnsi="Verdana"/>
          <w:sz w:val="18"/>
          <w:szCs w:val="18"/>
        </w:rPr>
        <w:t>2. &lt;full name and legal form of the Contractor&gt;, which has its registered office in &lt;place&gt;, legally represented in this matter by &lt;signatory’s name and position&gt;,</w:t>
      </w:r>
    </w:p>
    <w:p w14:paraId="23C6F690" w14:textId="77777777" w:rsidR="000C1FF0" w:rsidRPr="00BD0E2D" w:rsidRDefault="000C1FF0" w:rsidP="00022A55">
      <w:pPr>
        <w:spacing w:after="0" w:line="240" w:lineRule="auto"/>
        <w:rPr>
          <w:rFonts w:ascii="Verdana" w:hAnsi="Verdana"/>
          <w:sz w:val="18"/>
          <w:szCs w:val="18"/>
        </w:rPr>
      </w:pPr>
      <w:r>
        <w:rPr>
          <w:rFonts w:ascii="Verdana" w:hAnsi="Verdana"/>
          <w:sz w:val="18"/>
          <w:szCs w:val="18"/>
        </w:rPr>
        <w:t>hereinafter referred to as 'the Counterparty',</w:t>
      </w:r>
    </w:p>
    <w:p w14:paraId="22EDC808" w14:textId="77777777" w:rsidR="000C1FF0" w:rsidRPr="00BD0E2D" w:rsidRDefault="000C1FF0" w:rsidP="00022A55">
      <w:pPr>
        <w:spacing w:after="0" w:line="240" w:lineRule="auto"/>
        <w:rPr>
          <w:rFonts w:ascii="Verdana" w:hAnsi="Verdana"/>
          <w:sz w:val="18"/>
          <w:szCs w:val="18"/>
        </w:rPr>
      </w:pPr>
    </w:p>
    <w:p w14:paraId="25210973" w14:textId="734394A3" w:rsidR="00587F9F" w:rsidRPr="002C1DA0" w:rsidRDefault="00587F9F" w:rsidP="00022A55">
      <w:pPr>
        <w:pStyle w:val="Lijstalinea"/>
        <w:ind w:left="0"/>
        <w:rPr>
          <w:rFonts w:ascii="Verdana" w:hAnsi="Verdana"/>
          <w:sz w:val="18"/>
          <w:szCs w:val="18"/>
        </w:rPr>
      </w:pPr>
      <w:r>
        <w:rPr>
          <w:rFonts w:ascii="Verdana" w:hAnsi="Verdana"/>
          <w:iCs/>
          <w:sz w:val="18"/>
          <w:szCs w:val="18"/>
        </w:rPr>
        <w:t>the Contracting Authority and the Counterparty hereinafter referred to jointly as ‘the Parties’ and separately as ‘the Party’</w:t>
      </w:r>
    </w:p>
    <w:p w14:paraId="171FACF5" w14:textId="6F755376" w:rsidR="000C1FF0" w:rsidRDefault="000C1FF0" w:rsidP="00BD0E2D">
      <w:pPr>
        <w:spacing w:after="0" w:line="240" w:lineRule="auto"/>
        <w:rPr>
          <w:rFonts w:ascii="Verdana" w:hAnsi="Verdana"/>
          <w:sz w:val="18"/>
          <w:szCs w:val="18"/>
        </w:rPr>
      </w:pPr>
    </w:p>
    <w:p w14:paraId="030FD746" w14:textId="77777777" w:rsidR="00022A55" w:rsidRPr="00BD0E2D" w:rsidRDefault="00022A55" w:rsidP="00BD0E2D">
      <w:pPr>
        <w:spacing w:after="0" w:line="240" w:lineRule="auto"/>
        <w:rPr>
          <w:rFonts w:ascii="Verdana" w:hAnsi="Verdana"/>
          <w:sz w:val="18"/>
          <w:szCs w:val="18"/>
        </w:rPr>
      </w:pPr>
    </w:p>
    <w:p w14:paraId="353AE282" w14:textId="0D9B24BA" w:rsidR="000C1FF0" w:rsidRPr="00BD0E2D" w:rsidRDefault="0063246C" w:rsidP="0063246C">
      <w:pPr>
        <w:tabs>
          <w:tab w:val="left" w:pos="5475"/>
        </w:tabs>
        <w:spacing w:after="0" w:line="240" w:lineRule="auto"/>
        <w:rPr>
          <w:rFonts w:ascii="Verdana" w:hAnsi="Verdana"/>
          <w:sz w:val="18"/>
          <w:szCs w:val="18"/>
        </w:rPr>
      </w:pPr>
      <w:r>
        <w:rPr>
          <w:rFonts w:ascii="Verdana" w:hAnsi="Verdana"/>
          <w:sz w:val="18"/>
          <w:szCs w:val="18"/>
        </w:rPr>
        <w:tab/>
      </w:r>
    </w:p>
    <w:p w14:paraId="2F107536" w14:textId="77777777" w:rsidR="000C1FF0" w:rsidRPr="00BD0E2D" w:rsidRDefault="000C1FF0" w:rsidP="00BD0E2D">
      <w:pPr>
        <w:spacing w:after="0" w:line="240" w:lineRule="auto"/>
        <w:rPr>
          <w:rFonts w:ascii="Verdana" w:hAnsi="Verdana"/>
          <w:b/>
          <w:sz w:val="18"/>
          <w:szCs w:val="18"/>
        </w:rPr>
      </w:pPr>
      <w:r>
        <w:rPr>
          <w:rFonts w:ascii="Verdana" w:hAnsi="Verdana"/>
          <w:b/>
          <w:sz w:val="18"/>
          <w:szCs w:val="18"/>
        </w:rPr>
        <w:t>Whereas:</w:t>
      </w:r>
    </w:p>
    <w:p w14:paraId="256D663F" w14:textId="77777777" w:rsidR="00BD0E2D" w:rsidRDefault="00BD0E2D" w:rsidP="00BD0E2D">
      <w:pPr>
        <w:spacing w:after="0" w:line="240" w:lineRule="auto"/>
        <w:rPr>
          <w:rFonts w:ascii="Verdana" w:hAnsi="Verdana"/>
          <w:sz w:val="18"/>
          <w:szCs w:val="18"/>
        </w:rPr>
      </w:pPr>
    </w:p>
    <w:p w14:paraId="70F83941" w14:textId="77777777" w:rsidR="000C1FF0" w:rsidRPr="00BD0E2D" w:rsidRDefault="000C1FF0" w:rsidP="00BD0E2D">
      <w:pPr>
        <w:spacing w:after="0" w:line="240" w:lineRule="auto"/>
        <w:rPr>
          <w:rFonts w:ascii="Verdana" w:hAnsi="Verdana"/>
          <w:i/>
          <w:sz w:val="18"/>
          <w:szCs w:val="18"/>
        </w:rPr>
      </w:pPr>
      <w:r>
        <w:rPr>
          <w:rFonts w:ascii="Verdana" w:hAnsi="Verdana"/>
          <w:i/>
          <w:sz w:val="18"/>
          <w:szCs w:val="18"/>
        </w:rPr>
        <w:t>Organisation and objective of the Contracting Authority</w:t>
      </w:r>
    </w:p>
    <w:p w14:paraId="7DB95F8E" w14:textId="02AA20F0" w:rsidR="000C1FF0" w:rsidRPr="00BD0E2D" w:rsidRDefault="000C1FF0" w:rsidP="00BD0E2D">
      <w:pPr>
        <w:spacing w:after="0" w:line="240" w:lineRule="auto"/>
        <w:ind w:left="567" w:hanging="567"/>
        <w:rPr>
          <w:rFonts w:ascii="Verdana" w:hAnsi="Verdana"/>
          <w:sz w:val="18"/>
          <w:szCs w:val="18"/>
        </w:rPr>
      </w:pPr>
      <w:r>
        <w:rPr>
          <w:rFonts w:ascii="Verdana" w:hAnsi="Verdana"/>
          <w:sz w:val="18"/>
          <w:szCs w:val="18"/>
        </w:rPr>
        <w:t>a.</w:t>
      </w:r>
      <w:r>
        <w:rPr>
          <w:rFonts w:ascii="Verdana" w:hAnsi="Verdana"/>
          <w:sz w:val="18"/>
          <w:szCs w:val="18"/>
        </w:rPr>
        <w:tab/>
        <w:t>the Contracting Authority is responsible for &lt;description of the organisation of the Contracting Authority, in so far as relevant to the Framework Agreement&gt;;</w:t>
      </w:r>
    </w:p>
    <w:p w14:paraId="6A162AD0" w14:textId="453C9F88" w:rsidR="00022A55" w:rsidRDefault="000C1FF0" w:rsidP="0024108F">
      <w:pPr>
        <w:spacing w:after="0" w:line="240" w:lineRule="auto"/>
        <w:ind w:left="567" w:hanging="567"/>
        <w:rPr>
          <w:rFonts w:ascii="Verdana" w:hAnsi="Verdana"/>
          <w:sz w:val="18"/>
          <w:szCs w:val="18"/>
        </w:rPr>
      </w:pPr>
      <w:r>
        <w:rPr>
          <w:rFonts w:ascii="Verdana" w:hAnsi="Verdana"/>
          <w:sz w:val="18"/>
          <w:szCs w:val="18"/>
        </w:rPr>
        <w:t>b.</w:t>
      </w:r>
      <w:r>
        <w:rPr>
          <w:rFonts w:ascii="Verdana" w:hAnsi="Verdana"/>
          <w:sz w:val="18"/>
          <w:szCs w:val="18"/>
        </w:rPr>
        <w:tab/>
        <w:t>in performing its duties the Contracting Authority needs &lt;description of the Contracting Authority’s procurement needs in entering into the Framework Agreement with the Counterparty&gt;</w:t>
      </w:r>
      <w:r w:rsidR="007152F4">
        <w:rPr>
          <w:rFonts w:ascii="Verdana" w:hAnsi="Verdana"/>
          <w:sz w:val="18"/>
          <w:szCs w:val="18"/>
        </w:rPr>
        <w:t>;</w:t>
      </w:r>
    </w:p>
    <w:p w14:paraId="27B5F13A" w14:textId="77777777" w:rsidR="000C1FF0" w:rsidRPr="00BD0E2D" w:rsidRDefault="000C1FF0" w:rsidP="00BD0E2D">
      <w:pPr>
        <w:spacing w:after="0" w:line="240" w:lineRule="auto"/>
        <w:rPr>
          <w:rFonts w:ascii="Verdana" w:hAnsi="Verdana"/>
          <w:i/>
          <w:sz w:val="18"/>
          <w:szCs w:val="18"/>
        </w:rPr>
      </w:pPr>
      <w:r>
        <w:rPr>
          <w:rFonts w:ascii="Verdana" w:hAnsi="Verdana"/>
          <w:i/>
          <w:sz w:val="18"/>
          <w:szCs w:val="18"/>
        </w:rPr>
        <w:lastRenderedPageBreak/>
        <w:t>Course of the contract award procedure</w:t>
      </w:r>
    </w:p>
    <w:p w14:paraId="09F3F6CC" w14:textId="70F81795" w:rsidR="000C1FF0" w:rsidRDefault="000C1FF0" w:rsidP="00BD0E2D">
      <w:pPr>
        <w:spacing w:after="0" w:line="240" w:lineRule="auto"/>
        <w:ind w:left="567" w:hanging="567"/>
        <w:rPr>
          <w:rFonts w:ascii="Verdana" w:hAnsi="Verdana"/>
          <w:sz w:val="18"/>
          <w:szCs w:val="18"/>
        </w:rPr>
      </w:pPr>
      <w:r>
        <w:rPr>
          <w:rFonts w:ascii="Verdana" w:hAnsi="Verdana"/>
          <w:sz w:val="18"/>
          <w:szCs w:val="18"/>
        </w:rPr>
        <w:t>c.</w:t>
      </w:r>
      <w:r>
        <w:rPr>
          <w:rFonts w:ascii="Verdana" w:hAnsi="Verdana"/>
          <w:sz w:val="18"/>
          <w:szCs w:val="18"/>
        </w:rPr>
        <w:tab/>
        <w:t>in connection with the recitals at a and b above, the Contracting Authority initiated a procedure to award a contract for &lt;description of Deliverable&gt; by means of &lt;nature of the procedure&gt;;</w:t>
      </w:r>
    </w:p>
    <w:p w14:paraId="78ADA0B8" w14:textId="77777777" w:rsidR="00993037" w:rsidRPr="00BD0E2D" w:rsidRDefault="00993037" w:rsidP="00BD0E2D">
      <w:pPr>
        <w:spacing w:after="0" w:line="240" w:lineRule="auto"/>
        <w:ind w:left="567" w:hanging="567"/>
        <w:rPr>
          <w:rFonts w:ascii="Verdana" w:hAnsi="Verdana"/>
          <w:sz w:val="18"/>
          <w:szCs w:val="18"/>
        </w:rPr>
      </w:pPr>
    </w:p>
    <w:p w14:paraId="6F4F9BFA" w14:textId="4F057ED4" w:rsidR="000C1FF0" w:rsidRPr="00BD0E2D" w:rsidRDefault="000C1FF0" w:rsidP="00BD0E2D">
      <w:pPr>
        <w:spacing w:after="0" w:line="240" w:lineRule="auto"/>
        <w:ind w:left="567" w:hanging="567"/>
        <w:rPr>
          <w:rFonts w:ascii="Verdana" w:hAnsi="Verdana"/>
          <w:sz w:val="18"/>
          <w:szCs w:val="18"/>
        </w:rPr>
      </w:pPr>
      <w:r>
        <w:rPr>
          <w:rFonts w:ascii="Verdana" w:hAnsi="Verdana"/>
          <w:sz w:val="18"/>
          <w:szCs w:val="18"/>
        </w:rPr>
        <w:t>d.</w:t>
      </w:r>
      <w:r>
        <w:rPr>
          <w:rFonts w:ascii="Verdana" w:hAnsi="Verdana"/>
          <w:sz w:val="18"/>
          <w:szCs w:val="18"/>
        </w:rPr>
        <w:tab/>
        <w:t>a tender notice was sent by or on behalf of the Contracting Authority to the Supplement to the Official Journal of the European Union (hereinafter referred to as the Official Journal) on &lt;date&gt; and has been published under number &lt;S number&gt;;</w:t>
      </w:r>
      <w:r>
        <w:rPr>
          <w:rFonts w:ascii="Verdana" w:hAnsi="Verdana"/>
          <w:sz w:val="18"/>
          <w:szCs w:val="18"/>
        </w:rPr>
        <w:cr/>
      </w:r>
    </w:p>
    <w:p w14:paraId="5C1FC04A" w14:textId="20DF7CAF" w:rsidR="000C1FF0" w:rsidRPr="00BD0E2D" w:rsidRDefault="000C1FF0" w:rsidP="00BD0E2D">
      <w:pPr>
        <w:spacing w:after="0" w:line="240" w:lineRule="auto"/>
        <w:ind w:left="567" w:hanging="567"/>
        <w:rPr>
          <w:rFonts w:ascii="Verdana" w:hAnsi="Verdana"/>
          <w:sz w:val="18"/>
          <w:szCs w:val="18"/>
        </w:rPr>
      </w:pPr>
      <w:r>
        <w:rPr>
          <w:rFonts w:ascii="Verdana" w:hAnsi="Verdana"/>
          <w:sz w:val="18"/>
          <w:szCs w:val="18"/>
        </w:rPr>
        <w:t>e.</w:t>
      </w:r>
      <w:r>
        <w:rPr>
          <w:rFonts w:ascii="Verdana" w:hAnsi="Verdana"/>
          <w:sz w:val="18"/>
          <w:szCs w:val="18"/>
        </w:rPr>
        <w:tab/>
        <w:t>&lt;description of the remainder of the procurement process, depending on the nature of the contract award procedure&gt;;</w:t>
      </w:r>
      <w:r>
        <w:rPr>
          <w:rFonts w:ascii="Verdana" w:hAnsi="Verdana"/>
          <w:sz w:val="18"/>
          <w:szCs w:val="18"/>
        </w:rPr>
        <w:cr/>
      </w:r>
    </w:p>
    <w:p w14:paraId="4920BFDB" w14:textId="38BF0E1B" w:rsidR="000C1FF0" w:rsidRPr="00BD0E2D" w:rsidRDefault="000C1FF0" w:rsidP="00BD0E2D">
      <w:pPr>
        <w:spacing w:after="0" w:line="240" w:lineRule="auto"/>
        <w:ind w:left="567" w:hanging="567"/>
        <w:rPr>
          <w:rFonts w:ascii="Verdana" w:hAnsi="Verdana"/>
          <w:sz w:val="18"/>
          <w:szCs w:val="18"/>
        </w:rPr>
      </w:pPr>
      <w:r>
        <w:rPr>
          <w:rFonts w:ascii="Verdana" w:hAnsi="Verdana"/>
          <w:sz w:val="18"/>
          <w:szCs w:val="18"/>
        </w:rPr>
        <w:t>f.</w:t>
      </w:r>
      <w:r>
        <w:rPr>
          <w:rFonts w:ascii="Verdana" w:hAnsi="Verdana"/>
          <w:sz w:val="18"/>
          <w:szCs w:val="18"/>
        </w:rPr>
        <w:tab/>
        <w:t>the Contracting Authority awarded the contract on &lt;date&gt; to &lt;number&gt; tenderers including the Counterparty;</w:t>
      </w:r>
      <w:r>
        <w:rPr>
          <w:rFonts w:ascii="Verdana" w:hAnsi="Verdana"/>
          <w:sz w:val="18"/>
          <w:szCs w:val="18"/>
        </w:rPr>
        <w:cr/>
      </w:r>
    </w:p>
    <w:p w14:paraId="086D20C2" w14:textId="37FB9AC5" w:rsidR="000C1FF0" w:rsidRDefault="000C1FF0" w:rsidP="00BD0E2D">
      <w:pPr>
        <w:spacing w:after="0" w:line="240" w:lineRule="auto"/>
        <w:ind w:left="567" w:hanging="567"/>
        <w:rPr>
          <w:rFonts w:ascii="Verdana" w:hAnsi="Verdana"/>
          <w:sz w:val="18"/>
          <w:szCs w:val="18"/>
        </w:rPr>
      </w:pPr>
      <w:r>
        <w:rPr>
          <w:rFonts w:ascii="Verdana" w:hAnsi="Verdana"/>
          <w:sz w:val="18"/>
          <w:szCs w:val="18"/>
        </w:rPr>
        <w:t>g.</w:t>
      </w:r>
      <w:r>
        <w:rPr>
          <w:rFonts w:ascii="Verdana" w:hAnsi="Verdana"/>
          <w:sz w:val="18"/>
          <w:szCs w:val="18"/>
        </w:rPr>
        <w:tab/>
        <w:t xml:space="preserve">on the basis of this Framework Agreement the Contracting Authority may once again invite the Counterparty to participate in competitive selection for the award of a Call-Off Contract; </w:t>
      </w:r>
    </w:p>
    <w:p w14:paraId="4A6D4F02" w14:textId="77777777" w:rsidR="00993037" w:rsidRPr="00BD0E2D" w:rsidRDefault="00993037" w:rsidP="00BD0E2D">
      <w:pPr>
        <w:spacing w:after="0" w:line="240" w:lineRule="auto"/>
        <w:ind w:left="567" w:hanging="567"/>
        <w:rPr>
          <w:rFonts w:ascii="Verdana" w:hAnsi="Verdana"/>
          <w:sz w:val="18"/>
          <w:szCs w:val="18"/>
        </w:rPr>
      </w:pPr>
    </w:p>
    <w:p w14:paraId="5D8E710A" w14:textId="77777777" w:rsidR="000C1FF0" w:rsidRPr="00BD0E2D" w:rsidRDefault="000C1FF0" w:rsidP="00BD0E2D">
      <w:pPr>
        <w:spacing w:after="0" w:line="240" w:lineRule="auto"/>
        <w:ind w:left="567" w:hanging="567"/>
        <w:rPr>
          <w:rFonts w:ascii="Verdana" w:hAnsi="Verdana"/>
          <w:sz w:val="18"/>
          <w:szCs w:val="18"/>
        </w:rPr>
      </w:pPr>
      <w:r>
        <w:rPr>
          <w:rFonts w:ascii="Verdana" w:hAnsi="Verdana"/>
          <w:sz w:val="18"/>
          <w:szCs w:val="18"/>
        </w:rPr>
        <w:t>h.</w:t>
      </w:r>
      <w:r>
        <w:rPr>
          <w:rFonts w:ascii="Verdana" w:hAnsi="Verdana"/>
          <w:sz w:val="18"/>
          <w:szCs w:val="18"/>
        </w:rPr>
        <w:tab/>
        <w:t>&lt;description of the competition&gt;</w:t>
      </w:r>
    </w:p>
    <w:p w14:paraId="3C93802C" w14:textId="77777777" w:rsidR="000C1FF0" w:rsidRPr="00BD0E2D" w:rsidRDefault="000C1FF0" w:rsidP="00BD0E2D">
      <w:pPr>
        <w:spacing w:after="0" w:line="240" w:lineRule="auto"/>
        <w:ind w:left="567" w:hanging="567"/>
        <w:rPr>
          <w:rFonts w:ascii="Verdana" w:hAnsi="Verdana"/>
          <w:sz w:val="18"/>
          <w:szCs w:val="18"/>
        </w:rPr>
      </w:pPr>
      <w:r>
        <w:rPr>
          <w:rFonts w:ascii="Verdana" w:hAnsi="Verdana"/>
          <w:sz w:val="18"/>
          <w:szCs w:val="18"/>
        </w:rPr>
        <w:t xml:space="preserve"> </w:t>
      </w:r>
    </w:p>
    <w:p w14:paraId="01A8F546" w14:textId="77777777" w:rsidR="000C1FF0" w:rsidRPr="00BD0E2D" w:rsidRDefault="000C1FF0" w:rsidP="00BD0E2D">
      <w:pPr>
        <w:spacing w:after="0" w:line="240" w:lineRule="auto"/>
        <w:rPr>
          <w:rFonts w:ascii="Verdana" w:hAnsi="Verdana"/>
          <w:sz w:val="18"/>
          <w:szCs w:val="18"/>
        </w:rPr>
      </w:pPr>
    </w:p>
    <w:p w14:paraId="49D63760" w14:textId="77777777" w:rsidR="000C1FF0" w:rsidRDefault="000C1FF0" w:rsidP="00BD0E2D">
      <w:pPr>
        <w:spacing w:after="0" w:line="240" w:lineRule="auto"/>
        <w:rPr>
          <w:rFonts w:ascii="Verdana" w:hAnsi="Verdana"/>
          <w:sz w:val="18"/>
          <w:szCs w:val="18"/>
        </w:rPr>
      </w:pPr>
    </w:p>
    <w:p w14:paraId="3A173984" w14:textId="77777777" w:rsidR="002A79CB" w:rsidRPr="00BD0E2D" w:rsidRDefault="002A79CB" w:rsidP="00BD0E2D">
      <w:pPr>
        <w:spacing w:after="0" w:line="240" w:lineRule="auto"/>
        <w:rPr>
          <w:rFonts w:ascii="Verdana" w:hAnsi="Verdana"/>
          <w:sz w:val="18"/>
          <w:szCs w:val="18"/>
        </w:rPr>
      </w:pPr>
    </w:p>
    <w:p w14:paraId="28064184" w14:textId="77777777" w:rsidR="00FB60CD" w:rsidRPr="00993037" w:rsidRDefault="00FB60CD">
      <w:pPr>
        <w:pStyle w:val="Kopvaninhoudsopgave"/>
        <w:rPr>
          <w:sz w:val="22"/>
          <w:szCs w:val="22"/>
        </w:rPr>
      </w:pPr>
      <w:r w:rsidRPr="00993037">
        <w:rPr>
          <w:sz w:val="22"/>
          <w:szCs w:val="22"/>
        </w:rPr>
        <w:t>Contents</w:t>
      </w:r>
    </w:p>
    <w:p w14:paraId="5C0BBCD5" w14:textId="61F541CF" w:rsidR="003133D2" w:rsidRPr="00993037" w:rsidRDefault="00FB60CD">
      <w:pPr>
        <w:pStyle w:val="Inhopg1"/>
        <w:tabs>
          <w:tab w:val="right" w:leader="dot" w:pos="9062"/>
        </w:tabs>
        <w:rPr>
          <w:rFonts w:asciiTheme="minorHAnsi" w:eastAsiaTheme="minorEastAsia" w:hAnsiTheme="minorHAnsi" w:cstheme="minorBidi"/>
          <w:noProof/>
          <w:sz w:val="18"/>
          <w:szCs w:val="18"/>
          <w:lang w:val="nl-NL" w:eastAsia="nl-NL"/>
        </w:rPr>
      </w:pPr>
      <w:r w:rsidRPr="00993037">
        <w:rPr>
          <w:sz w:val="18"/>
          <w:szCs w:val="18"/>
        </w:rPr>
        <w:fldChar w:fldCharType="begin"/>
      </w:r>
      <w:r w:rsidRPr="00993037">
        <w:rPr>
          <w:sz w:val="18"/>
          <w:szCs w:val="18"/>
        </w:rPr>
        <w:instrText xml:space="preserve"> TOC \o "1-3" \h \z \u </w:instrText>
      </w:r>
      <w:r w:rsidRPr="00993037">
        <w:rPr>
          <w:sz w:val="18"/>
          <w:szCs w:val="18"/>
        </w:rPr>
        <w:fldChar w:fldCharType="separate"/>
      </w:r>
    </w:p>
    <w:p w14:paraId="495817D0" w14:textId="7EA1EC5B" w:rsidR="003133D2" w:rsidRPr="00993037" w:rsidRDefault="002C66E0">
      <w:pPr>
        <w:pStyle w:val="Inhopg1"/>
        <w:tabs>
          <w:tab w:val="right" w:leader="dot" w:pos="9062"/>
        </w:tabs>
        <w:rPr>
          <w:rFonts w:asciiTheme="minorHAnsi" w:eastAsiaTheme="minorEastAsia" w:hAnsiTheme="minorHAnsi" w:cstheme="minorBidi"/>
          <w:noProof/>
          <w:sz w:val="18"/>
          <w:szCs w:val="18"/>
          <w:lang w:val="nl-NL" w:eastAsia="nl-NL"/>
        </w:rPr>
      </w:pPr>
      <w:hyperlink w:anchor="_Toc130480769" w:history="1">
        <w:r w:rsidR="003133D2" w:rsidRPr="00993037">
          <w:rPr>
            <w:rStyle w:val="Hyperlink"/>
            <w:rFonts w:ascii="Verdana" w:hAnsi="Verdana"/>
            <w:noProof/>
            <w:sz w:val="18"/>
            <w:szCs w:val="18"/>
          </w:rPr>
          <w:t>ARBIT</w:t>
        </w:r>
        <w:r w:rsidR="0059708B">
          <w:rPr>
            <w:rStyle w:val="Hyperlink"/>
            <w:rFonts w:ascii="Verdana" w:hAnsi="Verdana"/>
            <w:noProof/>
            <w:sz w:val="18"/>
            <w:szCs w:val="18"/>
          </w:rPr>
          <w:t>-</w:t>
        </w:r>
        <w:r w:rsidR="003133D2" w:rsidRPr="00993037">
          <w:rPr>
            <w:rStyle w:val="Hyperlink"/>
            <w:rFonts w:ascii="Verdana" w:hAnsi="Verdana"/>
            <w:noProof/>
            <w:sz w:val="18"/>
            <w:szCs w:val="18"/>
          </w:rPr>
          <w:t>2022 Model Framework Agreement  concerning</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_Toc130480769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1</w:t>
        </w:r>
        <w:r w:rsidR="003133D2" w:rsidRPr="00993037">
          <w:rPr>
            <w:noProof/>
            <w:webHidden/>
            <w:sz w:val="18"/>
            <w:szCs w:val="18"/>
          </w:rPr>
          <w:fldChar w:fldCharType="end"/>
        </w:r>
      </w:hyperlink>
    </w:p>
    <w:p w14:paraId="539657A2" w14:textId="4B06FC62" w:rsidR="003133D2" w:rsidRPr="00993037" w:rsidRDefault="002C66E0">
      <w:pPr>
        <w:pStyle w:val="Inhopg1"/>
        <w:tabs>
          <w:tab w:val="right" w:leader="dot" w:pos="9062"/>
        </w:tabs>
        <w:rPr>
          <w:rFonts w:asciiTheme="minorHAnsi" w:eastAsiaTheme="minorEastAsia" w:hAnsiTheme="minorHAnsi" w:cstheme="minorBidi"/>
          <w:noProof/>
          <w:sz w:val="18"/>
          <w:szCs w:val="18"/>
          <w:lang w:val="nl-NL" w:eastAsia="nl-NL"/>
        </w:rPr>
      </w:pPr>
      <w:hyperlink w:anchor="_Toc130480770" w:history="1">
        <w:r w:rsidR="003133D2" w:rsidRPr="00993037">
          <w:rPr>
            <w:rStyle w:val="Hyperlink"/>
            <w:rFonts w:ascii="Verdana" w:hAnsi="Verdana"/>
            <w:noProof/>
            <w:sz w:val="18"/>
            <w:szCs w:val="18"/>
          </w:rPr>
          <w:t>1 Terms</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_Toc130480770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4</w:t>
        </w:r>
        <w:r w:rsidR="003133D2" w:rsidRPr="00993037">
          <w:rPr>
            <w:noProof/>
            <w:webHidden/>
            <w:sz w:val="18"/>
            <w:szCs w:val="18"/>
          </w:rPr>
          <w:fldChar w:fldCharType="end"/>
        </w:r>
      </w:hyperlink>
    </w:p>
    <w:p w14:paraId="49ACD038" w14:textId="4D0CAEFA"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1" w:history="1">
        <w:r w:rsidR="003133D2" w:rsidRPr="00993037">
          <w:rPr>
            <w:rStyle w:val="Hyperlink"/>
            <w:rFonts w:ascii="Verdana" w:hAnsi="Verdana"/>
            <w:noProof/>
            <w:sz w:val="18"/>
            <w:szCs w:val="18"/>
          </w:rPr>
          <w:t>2.</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Subject of the Framework Agreement</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_Toc130480771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4</w:t>
        </w:r>
        <w:r w:rsidR="003133D2" w:rsidRPr="00993037">
          <w:rPr>
            <w:noProof/>
            <w:webHidden/>
            <w:sz w:val="18"/>
            <w:szCs w:val="18"/>
          </w:rPr>
          <w:fldChar w:fldCharType="end"/>
        </w:r>
      </w:hyperlink>
    </w:p>
    <w:p w14:paraId="05BCE38B" w14:textId="33BD8479"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2" w:history="1">
        <w:r w:rsidR="003133D2" w:rsidRPr="00993037">
          <w:rPr>
            <w:rStyle w:val="Hyperlink"/>
            <w:rFonts w:ascii="Verdana" w:hAnsi="Verdana"/>
            <w:noProof/>
            <w:sz w:val="18"/>
            <w:szCs w:val="18"/>
          </w:rPr>
          <w:t xml:space="preserve">3. </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Contacts and reporting</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_Toc130480772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4</w:t>
        </w:r>
        <w:r w:rsidR="003133D2" w:rsidRPr="00993037">
          <w:rPr>
            <w:noProof/>
            <w:webHidden/>
            <w:sz w:val="18"/>
            <w:szCs w:val="18"/>
          </w:rPr>
          <w:fldChar w:fldCharType="end"/>
        </w:r>
      </w:hyperlink>
    </w:p>
    <w:p w14:paraId="3A71EDE4" w14:textId="441A59F7"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3" w:history="1">
        <w:r w:rsidR="003133D2" w:rsidRPr="00993037">
          <w:rPr>
            <w:rStyle w:val="Hyperlink"/>
            <w:rFonts w:ascii="Verdana" w:hAnsi="Verdana"/>
            <w:noProof/>
            <w:sz w:val="18"/>
            <w:szCs w:val="18"/>
          </w:rPr>
          <w:t>4.</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Entry into force and term of the Framework Agreement</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_Toc130480773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4</w:t>
        </w:r>
        <w:r w:rsidR="003133D2" w:rsidRPr="00993037">
          <w:rPr>
            <w:noProof/>
            <w:webHidden/>
            <w:sz w:val="18"/>
            <w:szCs w:val="18"/>
          </w:rPr>
          <w:fldChar w:fldCharType="end"/>
        </w:r>
      </w:hyperlink>
    </w:p>
    <w:p w14:paraId="3FC0059E" w14:textId="73D4480F"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4" w:history="1">
        <w:r w:rsidR="003133D2" w:rsidRPr="00993037">
          <w:rPr>
            <w:rStyle w:val="Hyperlink"/>
            <w:rFonts w:ascii="Verdana" w:hAnsi="Verdana"/>
            <w:noProof/>
            <w:sz w:val="18"/>
            <w:szCs w:val="18"/>
          </w:rPr>
          <w:t xml:space="preserve">5. </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Mini-competition</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_Toc130480774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5</w:t>
        </w:r>
        <w:r w:rsidR="003133D2" w:rsidRPr="00993037">
          <w:rPr>
            <w:noProof/>
            <w:webHidden/>
            <w:sz w:val="18"/>
            <w:szCs w:val="18"/>
          </w:rPr>
          <w:fldChar w:fldCharType="end"/>
        </w:r>
      </w:hyperlink>
    </w:p>
    <w:p w14:paraId="44A4444E" w14:textId="7542DBC1"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5" w:history="1">
        <w:r w:rsidR="003133D2" w:rsidRPr="00993037">
          <w:rPr>
            <w:rStyle w:val="Hyperlink"/>
            <w:rFonts w:ascii="Verdana" w:hAnsi="Verdana"/>
            <w:noProof/>
            <w:sz w:val="18"/>
            <w:szCs w:val="18"/>
          </w:rPr>
          <w:t>6.</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Prices and rates</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_Toc130480775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6</w:t>
        </w:r>
        <w:r w:rsidR="003133D2" w:rsidRPr="00993037">
          <w:rPr>
            <w:noProof/>
            <w:webHidden/>
            <w:sz w:val="18"/>
            <w:szCs w:val="18"/>
          </w:rPr>
          <w:fldChar w:fldCharType="end"/>
        </w:r>
      </w:hyperlink>
    </w:p>
    <w:p w14:paraId="6CDD503B" w14:textId="659BE01F"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6" w:history="1">
        <w:r w:rsidR="003133D2" w:rsidRPr="00993037">
          <w:rPr>
            <w:rStyle w:val="Hyperlink"/>
            <w:rFonts w:ascii="Verdana" w:hAnsi="Verdana"/>
            <w:noProof/>
            <w:sz w:val="18"/>
            <w:szCs w:val="18"/>
          </w:rPr>
          <w:t>7.</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Invoicing and payment</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_Toc130480776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6</w:t>
        </w:r>
        <w:r w:rsidR="003133D2" w:rsidRPr="00993037">
          <w:rPr>
            <w:noProof/>
            <w:webHidden/>
            <w:sz w:val="18"/>
            <w:szCs w:val="18"/>
          </w:rPr>
          <w:fldChar w:fldCharType="end"/>
        </w:r>
      </w:hyperlink>
    </w:p>
    <w:p w14:paraId="015BD6DB" w14:textId="20A9F82D"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7" w:history="1">
        <w:r w:rsidR="003133D2" w:rsidRPr="00993037">
          <w:rPr>
            <w:rStyle w:val="Hyperlink"/>
            <w:rFonts w:ascii="Verdana" w:hAnsi="Verdana"/>
            <w:noProof/>
            <w:sz w:val="18"/>
            <w:szCs w:val="18"/>
          </w:rPr>
          <w:t>8.</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General and special terms and conditions</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_Toc130480777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6</w:t>
        </w:r>
        <w:r w:rsidR="003133D2" w:rsidRPr="00993037">
          <w:rPr>
            <w:noProof/>
            <w:webHidden/>
            <w:sz w:val="18"/>
            <w:szCs w:val="18"/>
          </w:rPr>
          <w:fldChar w:fldCharType="end"/>
        </w:r>
      </w:hyperlink>
    </w:p>
    <w:p w14:paraId="3B4E46EE" w14:textId="726C22E2" w:rsidR="003133D2" w:rsidRPr="00993037" w:rsidRDefault="002C66E0">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778" w:history="1">
        <w:r w:rsidR="003133D2" w:rsidRPr="00993037">
          <w:rPr>
            <w:rStyle w:val="Hyperlink"/>
            <w:rFonts w:ascii="Verdana" w:hAnsi="Verdana"/>
            <w:noProof/>
            <w:sz w:val="18"/>
            <w:szCs w:val="18"/>
          </w:rPr>
          <w:t>9.</w:t>
        </w:r>
        <w:r w:rsidR="003133D2" w:rsidRPr="00993037">
          <w:rPr>
            <w:rFonts w:asciiTheme="minorHAnsi" w:eastAsiaTheme="minorEastAsia" w:hAnsiTheme="minorHAnsi" w:cstheme="minorBidi"/>
            <w:noProof/>
            <w:sz w:val="18"/>
            <w:szCs w:val="18"/>
            <w:lang w:val="nl-NL" w:eastAsia="nl-NL"/>
          </w:rPr>
          <w:tab/>
        </w:r>
        <w:r w:rsidR="003133D2" w:rsidRPr="00993037">
          <w:rPr>
            <w:rStyle w:val="Hyperlink"/>
            <w:rFonts w:ascii="Verdana" w:hAnsi="Verdana"/>
            <w:noProof/>
            <w:sz w:val="18"/>
            <w:szCs w:val="18"/>
          </w:rPr>
          <w:t>Other provisions</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_Toc130480778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6</w:t>
        </w:r>
        <w:r w:rsidR="003133D2" w:rsidRPr="00993037">
          <w:rPr>
            <w:noProof/>
            <w:webHidden/>
            <w:sz w:val="18"/>
            <w:szCs w:val="18"/>
          </w:rPr>
          <w:fldChar w:fldCharType="end"/>
        </w:r>
      </w:hyperlink>
    </w:p>
    <w:p w14:paraId="4503FB38" w14:textId="711E4412" w:rsidR="003133D2" w:rsidRDefault="002C66E0">
      <w:pPr>
        <w:pStyle w:val="Inhopg1"/>
        <w:tabs>
          <w:tab w:val="right" w:leader="dot" w:pos="9062"/>
        </w:tabs>
        <w:rPr>
          <w:noProof/>
          <w:sz w:val="18"/>
          <w:szCs w:val="18"/>
        </w:rPr>
      </w:pPr>
      <w:hyperlink w:anchor="_Toc130480779" w:history="1">
        <w:r w:rsidR="003133D2" w:rsidRPr="00993037">
          <w:rPr>
            <w:rStyle w:val="Hyperlink"/>
            <w:rFonts w:ascii="Verdana" w:hAnsi="Verdana"/>
            <w:noProof/>
            <w:sz w:val="18"/>
            <w:szCs w:val="18"/>
          </w:rPr>
          <w:t>Schedule: Model Call-off Contract under the ARBIT</w:t>
        </w:r>
        <w:r w:rsidR="0059708B">
          <w:rPr>
            <w:rStyle w:val="Hyperlink"/>
            <w:rFonts w:ascii="Verdana" w:hAnsi="Verdana"/>
            <w:noProof/>
            <w:sz w:val="18"/>
            <w:szCs w:val="18"/>
          </w:rPr>
          <w:t>-</w:t>
        </w:r>
        <w:r w:rsidR="003133D2" w:rsidRPr="00993037">
          <w:rPr>
            <w:rStyle w:val="Hyperlink"/>
            <w:rFonts w:ascii="Verdana" w:hAnsi="Verdana"/>
            <w:noProof/>
            <w:sz w:val="18"/>
            <w:szCs w:val="18"/>
          </w:rPr>
          <w:t>2022 Framework Agreement</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_Toc130480779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8</w:t>
        </w:r>
        <w:r w:rsidR="003133D2" w:rsidRPr="00993037">
          <w:rPr>
            <w:noProof/>
            <w:webHidden/>
            <w:sz w:val="18"/>
            <w:szCs w:val="18"/>
          </w:rPr>
          <w:fldChar w:fldCharType="end"/>
        </w:r>
      </w:hyperlink>
    </w:p>
    <w:p w14:paraId="3E245583" w14:textId="49C97B13" w:rsidR="00A93D3A" w:rsidRPr="00A93D3A" w:rsidRDefault="00A93D3A" w:rsidP="00A93D3A">
      <w:pPr>
        <w:rPr>
          <w:noProof/>
        </w:rPr>
      </w:pPr>
      <w:r w:rsidRPr="00A93D3A">
        <w:rPr>
          <w:rFonts w:ascii="Verdana" w:hAnsi="Verdana"/>
          <w:noProof/>
          <w:sz w:val="18"/>
          <w:szCs w:val="18"/>
        </w:rPr>
        <w:t>Schedule: Data Processing Agreement</w:t>
      </w:r>
      <w:r>
        <w:rPr>
          <w:noProof/>
        </w:rPr>
        <w:t>………………………………………………………………………………………………</w:t>
      </w:r>
      <w:r w:rsidRPr="00A93D3A">
        <w:rPr>
          <w:noProof/>
          <w:sz w:val="18"/>
          <w:szCs w:val="18"/>
        </w:rPr>
        <w:t>9</w:t>
      </w:r>
    </w:p>
    <w:p w14:paraId="44C961B8" w14:textId="14999550" w:rsidR="003133D2" w:rsidRPr="00993037" w:rsidRDefault="002C66E0">
      <w:pPr>
        <w:pStyle w:val="Inhopg1"/>
        <w:tabs>
          <w:tab w:val="right" w:leader="dot" w:pos="9062"/>
        </w:tabs>
        <w:rPr>
          <w:rFonts w:asciiTheme="minorHAnsi" w:eastAsiaTheme="minorEastAsia" w:hAnsiTheme="minorHAnsi" w:cstheme="minorBidi"/>
          <w:noProof/>
          <w:sz w:val="18"/>
          <w:szCs w:val="18"/>
          <w:lang w:val="nl-NL" w:eastAsia="nl-NL"/>
        </w:rPr>
      </w:pPr>
      <w:hyperlink w:anchor="_Toc130480780" w:history="1">
        <w:r w:rsidR="003133D2" w:rsidRPr="00993037">
          <w:rPr>
            <w:rStyle w:val="Hyperlink"/>
            <w:rFonts w:ascii="Verdana" w:hAnsi="Verdana"/>
            <w:noProof/>
            <w:sz w:val="18"/>
            <w:szCs w:val="18"/>
          </w:rPr>
          <w:t>Schedule: Specifications</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_Toc130480780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10</w:t>
        </w:r>
        <w:r w:rsidR="003133D2" w:rsidRPr="00993037">
          <w:rPr>
            <w:noProof/>
            <w:webHidden/>
            <w:sz w:val="18"/>
            <w:szCs w:val="18"/>
          </w:rPr>
          <w:fldChar w:fldCharType="end"/>
        </w:r>
      </w:hyperlink>
    </w:p>
    <w:p w14:paraId="7CB6A988" w14:textId="153F0357" w:rsidR="003133D2" w:rsidRPr="00993037" w:rsidRDefault="002C66E0">
      <w:pPr>
        <w:pStyle w:val="Inhopg1"/>
        <w:tabs>
          <w:tab w:val="right" w:leader="dot" w:pos="9062"/>
        </w:tabs>
        <w:rPr>
          <w:rFonts w:asciiTheme="minorHAnsi" w:eastAsiaTheme="minorEastAsia" w:hAnsiTheme="minorHAnsi" w:cstheme="minorBidi"/>
          <w:noProof/>
          <w:sz w:val="18"/>
          <w:szCs w:val="18"/>
          <w:lang w:val="nl-NL" w:eastAsia="nl-NL"/>
        </w:rPr>
      </w:pPr>
      <w:hyperlink w:anchor="_Toc130480781" w:history="1">
        <w:r w:rsidR="003133D2" w:rsidRPr="00993037">
          <w:rPr>
            <w:rStyle w:val="Hyperlink"/>
            <w:rFonts w:ascii="Verdana" w:hAnsi="Verdana"/>
            <w:noProof/>
            <w:sz w:val="18"/>
            <w:szCs w:val="18"/>
          </w:rPr>
          <w:t>Schedule: Contacts</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_Toc130480781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11</w:t>
        </w:r>
        <w:r w:rsidR="003133D2" w:rsidRPr="00993037">
          <w:rPr>
            <w:noProof/>
            <w:webHidden/>
            <w:sz w:val="18"/>
            <w:szCs w:val="18"/>
          </w:rPr>
          <w:fldChar w:fldCharType="end"/>
        </w:r>
      </w:hyperlink>
    </w:p>
    <w:p w14:paraId="0692B082" w14:textId="22E2C0DF" w:rsidR="003133D2" w:rsidRPr="00993037" w:rsidRDefault="002C66E0">
      <w:pPr>
        <w:pStyle w:val="Inhopg1"/>
        <w:tabs>
          <w:tab w:val="right" w:leader="dot" w:pos="9062"/>
        </w:tabs>
        <w:rPr>
          <w:rFonts w:asciiTheme="minorHAnsi" w:eastAsiaTheme="minorEastAsia" w:hAnsiTheme="minorHAnsi" w:cstheme="minorBidi"/>
          <w:noProof/>
          <w:sz w:val="18"/>
          <w:szCs w:val="18"/>
          <w:lang w:val="nl-NL" w:eastAsia="nl-NL"/>
        </w:rPr>
      </w:pPr>
      <w:hyperlink w:anchor="_Toc130480782" w:history="1">
        <w:r w:rsidR="003133D2" w:rsidRPr="00993037">
          <w:rPr>
            <w:rStyle w:val="Hyperlink"/>
            <w:rFonts w:ascii="Verdana" w:hAnsi="Verdana"/>
            <w:noProof/>
            <w:sz w:val="18"/>
            <w:szCs w:val="18"/>
          </w:rPr>
          <w:t>Schedule: Terms and Conditions</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_Toc130480782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12</w:t>
        </w:r>
        <w:r w:rsidR="003133D2" w:rsidRPr="00993037">
          <w:rPr>
            <w:noProof/>
            <w:webHidden/>
            <w:sz w:val="18"/>
            <w:szCs w:val="18"/>
          </w:rPr>
          <w:fldChar w:fldCharType="end"/>
        </w:r>
      </w:hyperlink>
    </w:p>
    <w:p w14:paraId="448A267F" w14:textId="48D2898D" w:rsidR="003133D2" w:rsidRPr="00993037" w:rsidRDefault="002C66E0">
      <w:pPr>
        <w:pStyle w:val="Inhopg1"/>
        <w:tabs>
          <w:tab w:val="right" w:leader="dot" w:pos="9062"/>
        </w:tabs>
        <w:rPr>
          <w:rFonts w:asciiTheme="minorHAnsi" w:eastAsiaTheme="minorEastAsia" w:hAnsiTheme="minorHAnsi" w:cstheme="minorBidi"/>
          <w:noProof/>
          <w:sz w:val="18"/>
          <w:szCs w:val="18"/>
          <w:lang w:val="nl-NL" w:eastAsia="nl-NL"/>
        </w:rPr>
      </w:pPr>
      <w:hyperlink w:anchor="_Toc130480783" w:history="1">
        <w:r w:rsidR="003133D2" w:rsidRPr="00993037">
          <w:rPr>
            <w:rStyle w:val="Hyperlink"/>
            <w:rFonts w:ascii="Verdana" w:hAnsi="Verdana"/>
            <w:noProof/>
            <w:sz w:val="18"/>
            <w:szCs w:val="18"/>
          </w:rPr>
          <w:t>Schedule: Financial Agreements File</w:t>
        </w:r>
        <w:r w:rsidR="003133D2" w:rsidRPr="00993037">
          <w:rPr>
            <w:noProof/>
            <w:webHidden/>
            <w:sz w:val="18"/>
            <w:szCs w:val="18"/>
          </w:rPr>
          <w:tab/>
        </w:r>
        <w:r w:rsidR="003133D2" w:rsidRPr="00993037">
          <w:rPr>
            <w:noProof/>
            <w:webHidden/>
            <w:sz w:val="18"/>
            <w:szCs w:val="18"/>
          </w:rPr>
          <w:fldChar w:fldCharType="begin"/>
        </w:r>
        <w:r w:rsidR="003133D2" w:rsidRPr="00993037">
          <w:rPr>
            <w:noProof/>
            <w:webHidden/>
            <w:sz w:val="18"/>
            <w:szCs w:val="18"/>
          </w:rPr>
          <w:instrText xml:space="preserve"> PAGEREF _Toc130480783 \h </w:instrText>
        </w:r>
        <w:r w:rsidR="003133D2" w:rsidRPr="00993037">
          <w:rPr>
            <w:noProof/>
            <w:webHidden/>
            <w:sz w:val="18"/>
            <w:szCs w:val="18"/>
          </w:rPr>
        </w:r>
        <w:r w:rsidR="003133D2" w:rsidRPr="00993037">
          <w:rPr>
            <w:noProof/>
            <w:webHidden/>
            <w:sz w:val="18"/>
            <w:szCs w:val="18"/>
          </w:rPr>
          <w:fldChar w:fldCharType="separate"/>
        </w:r>
        <w:r w:rsidR="004C6F02">
          <w:rPr>
            <w:noProof/>
            <w:webHidden/>
            <w:sz w:val="18"/>
            <w:szCs w:val="18"/>
          </w:rPr>
          <w:t>13</w:t>
        </w:r>
        <w:r w:rsidR="003133D2" w:rsidRPr="00993037">
          <w:rPr>
            <w:noProof/>
            <w:webHidden/>
            <w:sz w:val="18"/>
            <w:szCs w:val="18"/>
          </w:rPr>
          <w:fldChar w:fldCharType="end"/>
        </w:r>
      </w:hyperlink>
    </w:p>
    <w:p w14:paraId="0FAF3975" w14:textId="29A243B9" w:rsidR="000A6A2E" w:rsidRPr="00A93D3A" w:rsidRDefault="00FB60CD" w:rsidP="000A6A2E">
      <w:pPr>
        <w:pStyle w:val="Inhopg1"/>
        <w:tabs>
          <w:tab w:val="right" w:leader="dot" w:pos="9062"/>
        </w:tabs>
        <w:rPr>
          <w:rFonts w:ascii="Verdana" w:eastAsia="Times New Roman" w:hAnsi="Verdana"/>
          <w:sz w:val="18"/>
          <w:szCs w:val="18"/>
        </w:rPr>
      </w:pPr>
      <w:r w:rsidRPr="00993037">
        <w:rPr>
          <w:sz w:val="18"/>
          <w:szCs w:val="18"/>
        </w:rPr>
        <w:lastRenderedPageBreak/>
        <w:fldChar w:fldCharType="end"/>
      </w:r>
      <w:hyperlink w:anchor="_Toc397950865" w:history="1">
        <w:r w:rsidRPr="00A93D3A">
          <w:rPr>
            <w:rFonts w:ascii="Verdana" w:hAnsi="Verdana"/>
            <w:sz w:val="18"/>
            <w:szCs w:val="18"/>
          </w:rPr>
          <w:t>Schedule: Exit Arrangements</w:t>
        </w:r>
        <w:r w:rsidRPr="00A93D3A">
          <w:rPr>
            <w:rFonts w:ascii="Verdana" w:hAnsi="Verdana"/>
            <w:webHidden/>
            <w:sz w:val="18"/>
            <w:szCs w:val="18"/>
          </w:rPr>
          <w:tab/>
        </w:r>
        <w:r w:rsidRPr="00A93D3A">
          <w:rPr>
            <w:rFonts w:asciiTheme="minorHAnsi" w:hAnsiTheme="minorHAnsi" w:cstheme="minorHAnsi"/>
            <w:webHidden/>
            <w:sz w:val="18"/>
            <w:szCs w:val="18"/>
          </w:rPr>
          <w:t>1</w:t>
        </w:r>
        <w:r w:rsidR="00A93D3A">
          <w:rPr>
            <w:rFonts w:asciiTheme="minorHAnsi" w:hAnsiTheme="minorHAnsi" w:cstheme="minorHAnsi"/>
            <w:webHidden/>
            <w:sz w:val="18"/>
            <w:szCs w:val="18"/>
          </w:rPr>
          <w:t>4</w:t>
        </w:r>
      </w:hyperlink>
    </w:p>
    <w:p w14:paraId="7E9939A5" w14:textId="75005C9C" w:rsidR="000A6A2E" w:rsidRPr="00A93D3A" w:rsidRDefault="000A6A2E" w:rsidP="000A6A2E">
      <w:pPr>
        <w:pStyle w:val="Inhopg1"/>
        <w:tabs>
          <w:tab w:val="right" w:leader="dot" w:pos="9062"/>
        </w:tabs>
        <w:spacing w:after="0" w:line="240" w:lineRule="auto"/>
        <w:rPr>
          <w:rFonts w:asciiTheme="minorHAnsi" w:eastAsia="Times New Roman" w:hAnsiTheme="minorHAnsi" w:cstheme="minorHAnsi"/>
          <w:noProof/>
          <w:sz w:val="18"/>
          <w:szCs w:val="18"/>
        </w:rPr>
      </w:pPr>
      <w:r w:rsidRPr="00A93D3A">
        <w:rPr>
          <w:rFonts w:ascii="Verdana" w:hAnsi="Verdana"/>
          <w:sz w:val="18"/>
          <w:szCs w:val="18"/>
        </w:rPr>
        <w:t>Schedule: Artificial Intelligence (AI)</w:t>
      </w:r>
      <w:r w:rsidRPr="00A93D3A">
        <w:rPr>
          <w:rFonts w:ascii="Verdana" w:hAnsi="Verdana"/>
          <w:webHidden/>
          <w:sz w:val="18"/>
          <w:szCs w:val="18"/>
        </w:rPr>
        <w:tab/>
      </w:r>
      <w:r w:rsidRPr="00A93D3A">
        <w:rPr>
          <w:rFonts w:asciiTheme="minorHAnsi" w:hAnsiTheme="minorHAnsi" w:cstheme="minorHAnsi"/>
          <w:webHidden/>
          <w:sz w:val="18"/>
          <w:szCs w:val="18"/>
        </w:rPr>
        <w:t>1</w:t>
      </w:r>
      <w:r w:rsidR="00A93D3A">
        <w:rPr>
          <w:rFonts w:asciiTheme="minorHAnsi" w:hAnsiTheme="minorHAnsi" w:cstheme="minorHAnsi"/>
          <w:webHidden/>
          <w:sz w:val="18"/>
          <w:szCs w:val="18"/>
        </w:rPr>
        <w:t>5</w:t>
      </w:r>
    </w:p>
    <w:p w14:paraId="45F5231F" w14:textId="503C0416" w:rsidR="000C1FF0" w:rsidRPr="00FB60CD" w:rsidRDefault="000C1FF0" w:rsidP="00FB60CD">
      <w:r>
        <w:rPr>
          <w:rFonts w:ascii="Verdana" w:hAnsi="Verdana"/>
          <w:sz w:val="18"/>
          <w:szCs w:val="18"/>
        </w:rPr>
        <w:t xml:space="preserve"> </w:t>
      </w:r>
    </w:p>
    <w:p w14:paraId="68513919" w14:textId="77777777" w:rsidR="000C1FF0" w:rsidRPr="00BD0E2D" w:rsidRDefault="00BD0E2D" w:rsidP="00BD0E2D">
      <w:pPr>
        <w:spacing w:after="0" w:line="240" w:lineRule="auto"/>
        <w:rPr>
          <w:rFonts w:ascii="Verdana" w:hAnsi="Verdana"/>
          <w:b/>
          <w:sz w:val="18"/>
          <w:szCs w:val="18"/>
        </w:rPr>
      </w:pPr>
      <w:r>
        <w:br w:type="page"/>
      </w:r>
      <w:r>
        <w:rPr>
          <w:rFonts w:ascii="Verdana" w:hAnsi="Verdana"/>
          <w:b/>
          <w:sz w:val="18"/>
          <w:szCs w:val="18"/>
        </w:rPr>
        <w:lastRenderedPageBreak/>
        <w:t>Agree as follows:</w:t>
      </w:r>
    </w:p>
    <w:p w14:paraId="0F084FF3" w14:textId="77777777" w:rsidR="00BD0E2D" w:rsidRDefault="00BD0E2D" w:rsidP="00BD0E2D">
      <w:pPr>
        <w:spacing w:after="0" w:line="240" w:lineRule="auto"/>
        <w:rPr>
          <w:rFonts w:ascii="Verdana" w:hAnsi="Verdana"/>
          <w:sz w:val="18"/>
          <w:szCs w:val="18"/>
        </w:rPr>
      </w:pPr>
    </w:p>
    <w:p w14:paraId="4CEFC4EA" w14:textId="77777777" w:rsidR="000C1FF0" w:rsidRPr="00BD0E2D" w:rsidRDefault="00BD0E2D" w:rsidP="00BD0E2D">
      <w:pPr>
        <w:pStyle w:val="Kop1"/>
        <w:ind w:left="567" w:hanging="567"/>
        <w:rPr>
          <w:rFonts w:ascii="Verdana" w:hAnsi="Verdana"/>
          <w:sz w:val="18"/>
          <w:szCs w:val="18"/>
        </w:rPr>
      </w:pPr>
      <w:bookmarkStart w:id="2" w:name="_Toc130480770"/>
      <w:r>
        <w:rPr>
          <w:rFonts w:ascii="Verdana" w:hAnsi="Verdana"/>
          <w:sz w:val="18"/>
          <w:szCs w:val="18"/>
        </w:rPr>
        <w:t>1 Terms</w:t>
      </w:r>
      <w:bookmarkEnd w:id="2"/>
    </w:p>
    <w:p w14:paraId="25622238" w14:textId="77777777" w:rsidR="00BD0E2D" w:rsidRDefault="00BD0E2D" w:rsidP="00BD0E2D">
      <w:pPr>
        <w:spacing w:after="0" w:line="240" w:lineRule="auto"/>
        <w:rPr>
          <w:rFonts w:ascii="Verdana" w:hAnsi="Verdana"/>
          <w:sz w:val="18"/>
          <w:szCs w:val="18"/>
        </w:rPr>
      </w:pPr>
    </w:p>
    <w:p w14:paraId="40C796AF" w14:textId="0F7EBDD4" w:rsidR="000C1FF0" w:rsidRPr="00BD0E2D" w:rsidRDefault="000C1FF0" w:rsidP="00BD0E2D">
      <w:pPr>
        <w:spacing w:after="0" w:line="240" w:lineRule="auto"/>
        <w:rPr>
          <w:rFonts w:ascii="Verdana" w:hAnsi="Verdana"/>
          <w:sz w:val="18"/>
          <w:szCs w:val="18"/>
        </w:rPr>
      </w:pPr>
      <w:r>
        <w:rPr>
          <w:rFonts w:ascii="Verdana" w:hAnsi="Verdana"/>
          <w:sz w:val="18"/>
          <w:szCs w:val="18"/>
        </w:rPr>
        <w:t>A number of terms in this Framework Agreement are written with initial capitals. These terms are defined in the Terms and Conditions. Where written with an initial capital, the following additional terms are defined as follows:</w:t>
      </w:r>
      <w:r>
        <w:rPr>
          <w:rFonts w:ascii="Verdana" w:hAnsi="Verdana"/>
          <w:sz w:val="18"/>
          <w:szCs w:val="18"/>
        </w:rPr>
        <w:cr/>
      </w:r>
      <w:r>
        <w:rPr>
          <w:rFonts w:ascii="Verdana" w:hAnsi="Verdana"/>
          <w:sz w:val="18"/>
          <w:szCs w:val="18"/>
        </w:rPr>
        <w:br/>
      </w:r>
    </w:p>
    <w:p w14:paraId="43EC9755" w14:textId="419257F4" w:rsidR="000C1FF0" w:rsidRPr="00B912A6" w:rsidRDefault="000C1FF0" w:rsidP="0024108F">
      <w:pPr>
        <w:pStyle w:val="Lijstalinea"/>
        <w:numPr>
          <w:ilvl w:val="1"/>
          <w:numId w:val="2"/>
        </w:numPr>
        <w:ind w:left="567" w:hanging="567"/>
        <w:rPr>
          <w:rFonts w:ascii="Verdana" w:hAnsi="Verdana"/>
          <w:sz w:val="18"/>
          <w:szCs w:val="18"/>
        </w:rPr>
      </w:pPr>
      <w:r>
        <w:rPr>
          <w:rFonts w:ascii="Verdana" w:hAnsi="Verdana"/>
          <w:sz w:val="18"/>
          <w:szCs w:val="18"/>
        </w:rPr>
        <w:t>Call-off Contract: the agreements made under the Framework Agreement between the Contracting Authority and the Counterparty.</w:t>
      </w:r>
    </w:p>
    <w:p w14:paraId="28992F6F" w14:textId="77777777" w:rsidR="00B912A6" w:rsidRPr="00B912A6" w:rsidRDefault="00B912A6" w:rsidP="00B912A6">
      <w:pPr>
        <w:pStyle w:val="Lijstalinea"/>
        <w:rPr>
          <w:rFonts w:ascii="Verdana" w:hAnsi="Verdana"/>
          <w:sz w:val="18"/>
          <w:szCs w:val="18"/>
        </w:rPr>
      </w:pPr>
    </w:p>
    <w:p w14:paraId="69BEA876" w14:textId="46F35EC4" w:rsidR="00BD0E2D" w:rsidRPr="00BD0E2D" w:rsidRDefault="000C1FF0" w:rsidP="0024108F">
      <w:pPr>
        <w:spacing w:after="0" w:line="240" w:lineRule="auto"/>
        <w:ind w:left="567" w:hanging="567"/>
        <w:rPr>
          <w:rFonts w:ascii="Verdana" w:hAnsi="Verdana"/>
          <w:sz w:val="18"/>
          <w:szCs w:val="18"/>
        </w:rPr>
      </w:pPr>
      <w:r>
        <w:rPr>
          <w:rFonts w:ascii="Verdana" w:hAnsi="Verdana"/>
          <w:sz w:val="18"/>
          <w:szCs w:val="18"/>
        </w:rPr>
        <w:t>1.2.</w:t>
      </w:r>
      <w:r>
        <w:rPr>
          <w:rFonts w:ascii="Verdana" w:hAnsi="Verdana"/>
          <w:sz w:val="18"/>
          <w:szCs w:val="18"/>
        </w:rPr>
        <w:tab/>
        <w:t xml:space="preserve">Framework Agreement: the agreements on the basis of which the Contracting Authority is entitled to invite the Counterparty to participate in competitive selection and to conclude Call-off Contracts with it. </w:t>
      </w:r>
      <w:r>
        <w:rPr>
          <w:rFonts w:ascii="Verdana" w:hAnsi="Verdana"/>
          <w:sz w:val="18"/>
          <w:szCs w:val="18"/>
        </w:rPr>
        <w:cr/>
      </w:r>
    </w:p>
    <w:p w14:paraId="343E39EA" w14:textId="4922C9EB" w:rsidR="00B912A6" w:rsidRPr="0024108F" w:rsidRDefault="000C1FF0" w:rsidP="0024108F">
      <w:pPr>
        <w:pStyle w:val="Kop1"/>
        <w:numPr>
          <w:ilvl w:val="0"/>
          <w:numId w:val="2"/>
        </w:numPr>
        <w:rPr>
          <w:rFonts w:ascii="Verdana" w:hAnsi="Verdana"/>
          <w:sz w:val="18"/>
          <w:szCs w:val="18"/>
        </w:rPr>
      </w:pPr>
      <w:bookmarkStart w:id="3" w:name="_Toc130480771"/>
      <w:r>
        <w:rPr>
          <w:rFonts w:ascii="Verdana" w:hAnsi="Verdana"/>
          <w:sz w:val="18"/>
          <w:szCs w:val="18"/>
        </w:rPr>
        <w:t>Subject of the Framework Agreement</w:t>
      </w:r>
      <w:bookmarkEnd w:id="3"/>
      <w:r>
        <w:rPr>
          <w:rFonts w:ascii="Verdana" w:hAnsi="Verdana"/>
          <w:sz w:val="18"/>
          <w:szCs w:val="18"/>
        </w:rPr>
        <w:cr/>
      </w:r>
    </w:p>
    <w:p w14:paraId="20DB2264" w14:textId="0736042E" w:rsidR="000C1FF0" w:rsidRDefault="000C1FF0" w:rsidP="00BD0E2D">
      <w:pPr>
        <w:spacing w:after="0" w:line="240" w:lineRule="auto"/>
        <w:ind w:left="567" w:hanging="567"/>
        <w:rPr>
          <w:rFonts w:ascii="Verdana" w:hAnsi="Verdana"/>
          <w:sz w:val="18"/>
          <w:szCs w:val="18"/>
        </w:rPr>
      </w:pPr>
      <w:r>
        <w:rPr>
          <w:rFonts w:ascii="Verdana" w:hAnsi="Verdana"/>
          <w:sz w:val="18"/>
          <w:szCs w:val="18"/>
        </w:rPr>
        <w:t>2.1.</w:t>
      </w:r>
      <w:r>
        <w:rPr>
          <w:rFonts w:ascii="Verdana" w:hAnsi="Verdana"/>
          <w:sz w:val="18"/>
          <w:szCs w:val="18"/>
        </w:rPr>
        <w:tab/>
        <w:t>The Parties hereby conclude a Framework Agreement on the basis of which the Contracting Authority is entitled to invite the Counterparty to participate in competitive selection by means of a further call for competition. On the basis of the further tender issued by the Counterparty, the Contracting Authority may conclude Call-off Contracts with the Counterparty.</w:t>
      </w:r>
    </w:p>
    <w:p w14:paraId="3E4AFA6E" w14:textId="77777777" w:rsidR="00B912A6" w:rsidRPr="00BD0E2D" w:rsidRDefault="00B912A6" w:rsidP="00BD0E2D">
      <w:pPr>
        <w:spacing w:after="0" w:line="240" w:lineRule="auto"/>
        <w:ind w:left="567" w:hanging="567"/>
        <w:rPr>
          <w:rFonts w:ascii="Verdana" w:hAnsi="Verdana"/>
          <w:sz w:val="18"/>
          <w:szCs w:val="18"/>
        </w:rPr>
      </w:pPr>
    </w:p>
    <w:p w14:paraId="11C311C0" w14:textId="7C4910A2" w:rsidR="000C1FF0" w:rsidRDefault="000C1FF0" w:rsidP="00BD0E2D">
      <w:pPr>
        <w:spacing w:after="0" w:line="240" w:lineRule="auto"/>
        <w:ind w:left="567" w:hanging="567"/>
        <w:rPr>
          <w:rFonts w:ascii="Verdana" w:hAnsi="Verdana"/>
          <w:sz w:val="18"/>
          <w:szCs w:val="18"/>
        </w:rPr>
      </w:pPr>
      <w:r>
        <w:rPr>
          <w:rFonts w:ascii="Verdana" w:hAnsi="Verdana"/>
          <w:sz w:val="18"/>
          <w:szCs w:val="18"/>
        </w:rPr>
        <w:t>2.2.</w:t>
      </w:r>
      <w:r>
        <w:rPr>
          <w:rFonts w:ascii="Verdana" w:hAnsi="Verdana"/>
          <w:sz w:val="18"/>
          <w:szCs w:val="18"/>
        </w:rPr>
        <w:tab/>
        <w:t xml:space="preserve">Call-off Contracts are concluded on the basis of the Model Call-off Contract contained in the Schedule (Model Call-off Contract under the </w:t>
      </w:r>
      <w:r w:rsidR="0059708B">
        <w:rPr>
          <w:rFonts w:ascii="Verdana" w:hAnsi="Verdana"/>
          <w:sz w:val="18"/>
          <w:szCs w:val="18"/>
        </w:rPr>
        <w:t>ARBIT-2022</w:t>
      </w:r>
      <w:r>
        <w:rPr>
          <w:rFonts w:ascii="Verdana" w:hAnsi="Verdana"/>
          <w:sz w:val="18"/>
          <w:szCs w:val="18"/>
        </w:rPr>
        <w:t xml:space="preserve"> Framework Agreement Schedule).</w:t>
      </w:r>
    </w:p>
    <w:p w14:paraId="1760867A" w14:textId="77777777" w:rsidR="00B912A6" w:rsidRPr="00BD0E2D" w:rsidRDefault="00B912A6" w:rsidP="00BD0E2D">
      <w:pPr>
        <w:spacing w:after="0" w:line="240" w:lineRule="auto"/>
        <w:ind w:left="567" w:hanging="567"/>
        <w:rPr>
          <w:rFonts w:ascii="Verdana" w:hAnsi="Verdana"/>
          <w:sz w:val="18"/>
          <w:szCs w:val="18"/>
        </w:rPr>
      </w:pPr>
    </w:p>
    <w:p w14:paraId="038CA7CE" w14:textId="77777777" w:rsidR="000C1FF0" w:rsidRPr="00BD0E2D" w:rsidRDefault="000C1FF0" w:rsidP="00BD0E2D">
      <w:pPr>
        <w:spacing w:after="0" w:line="240" w:lineRule="auto"/>
        <w:ind w:left="567" w:hanging="567"/>
        <w:rPr>
          <w:rFonts w:ascii="Verdana" w:hAnsi="Verdana"/>
          <w:sz w:val="18"/>
          <w:szCs w:val="18"/>
        </w:rPr>
      </w:pPr>
      <w:r>
        <w:rPr>
          <w:rFonts w:ascii="Verdana" w:hAnsi="Verdana"/>
          <w:sz w:val="18"/>
          <w:szCs w:val="18"/>
        </w:rPr>
        <w:t>2.3.</w:t>
      </w:r>
      <w:r>
        <w:rPr>
          <w:rFonts w:ascii="Verdana" w:hAnsi="Verdana"/>
          <w:sz w:val="18"/>
          <w:szCs w:val="18"/>
        </w:rPr>
        <w:tab/>
        <w:t>The following documents together constitute the Framework Agreement. In the event of mutual inconsistencies, a higher ranked document takes precedence over a lower ranked document:</w:t>
      </w:r>
    </w:p>
    <w:p w14:paraId="460E2E07" w14:textId="7D32A0B8" w:rsidR="000C1FF0" w:rsidRDefault="000C1FF0" w:rsidP="00BD0E2D">
      <w:pPr>
        <w:spacing w:after="0" w:line="240" w:lineRule="auto"/>
        <w:ind w:left="993" w:hanging="426"/>
        <w:rPr>
          <w:rFonts w:ascii="Verdana" w:hAnsi="Verdana"/>
          <w:sz w:val="18"/>
          <w:szCs w:val="18"/>
        </w:rPr>
      </w:pPr>
      <w:r>
        <w:rPr>
          <w:rFonts w:ascii="Verdana" w:hAnsi="Verdana"/>
          <w:sz w:val="18"/>
          <w:szCs w:val="18"/>
        </w:rPr>
        <w:t>1) this document;</w:t>
      </w:r>
    </w:p>
    <w:p w14:paraId="1A4CBCF0" w14:textId="7279894B" w:rsidR="00D46102" w:rsidRPr="00BD0E2D" w:rsidRDefault="00D46102" w:rsidP="00BD0E2D">
      <w:pPr>
        <w:spacing w:after="0" w:line="240" w:lineRule="auto"/>
        <w:ind w:left="993" w:hanging="426"/>
        <w:rPr>
          <w:rFonts w:ascii="Verdana" w:hAnsi="Verdana"/>
          <w:sz w:val="18"/>
          <w:szCs w:val="18"/>
        </w:rPr>
      </w:pPr>
      <w:r>
        <w:rPr>
          <w:rFonts w:ascii="Verdana" w:hAnsi="Verdana"/>
          <w:sz w:val="18"/>
          <w:szCs w:val="18"/>
        </w:rPr>
        <w:t>2) the Data Processing Agreement (Data Processing Agreement Schedule) (if applicable);</w:t>
      </w:r>
    </w:p>
    <w:p w14:paraId="2908921E" w14:textId="0C45161B"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3)</w:t>
      </w:r>
      <w:r>
        <w:rPr>
          <w:rFonts w:ascii="Verdana" w:hAnsi="Verdana"/>
          <w:sz w:val="18"/>
          <w:szCs w:val="18"/>
        </w:rPr>
        <w:tab/>
        <w:t>the Terms and Conditions (Terms and Conditions Schedule);</w:t>
      </w:r>
    </w:p>
    <w:p w14:paraId="48DA5EFE" w14:textId="516DC41A"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4)</w:t>
      </w:r>
      <w:r>
        <w:rPr>
          <w:rFonts w:ascii="Verdana" w:hAnsi="Verdana"/>
          <w:sz w:val="18"/>
          <w:szCs w:val="18"/>
        </w:rPr>
        <w:tab/>
        <w:t>the Financial Agreements File (Financial Agreements File Schedule);</w:t>
      </w:r>
    </w:p>
    <w:p w14:paraId="7C7B04CC" w14:textId="7B08FF6B"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5)</w:t>
      </w:r>
      <w:r>
        <w:rPr>
          <w:rFonts w:ascii="Verdana" w:hAnsi="Verdana"/>
          <w:sz w:val="18"/>
          <w:szCs w:val="18"/>
        </w:rPr>
        <w:tab/>
        <w:t>the Specifications (Specifications Schedule);</w:t>
      </w:r>
    </w:p>
    <w:p w14:paraId="1673EDBD" w14:textId="233BB43E"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6)</w:t>
      </w:r>
      <w:r>
        <w:rPr>
          <w:rFonts w:ascii="Verdana" w:hAnsi="Verdana"/>
          <w:sz w:val="18"/>
          <w:szCs w:val="18"/>
        </w:rPr>
        <w:tab/>
        <w:t>the other Schedules;</w:t>
      </w:r>
    </w:p>
    <w:p w14:paraId="7874273A" w14:textId="447E787A" w:rsidR="000C1FF0" w:rsidRDefault="00D46102" w:rsidP="00BD0E2D">
      <w:pPr>
        <w:spacing w:after="0" w:line="240" w:lineRule="auto"/>
        <w:ind w:left="993" w:hanging="426"/>
        <w:rPr>
          <w:rFonts w:ascii="Verdana" w:hAnsi="Verdana"/>
          <w:sz w:val="18"/>
          <w:szCs w:val="18"/>
        </w:rPr>
      </w:pPr>
      <w:r>
        <w:rPr>
          <w:rFonts w:ascii="Verdana" w:hAnsi="Verdana"/>
          <w:sz w:val="18"/>
          <w:szCs w:val="18"/>
        </w:rPr>
        <w:t>7)</w:t>
      </w:r>
      <w:r>
        <w:rPr>
          <w:rFonts w:ascii="Verdana" w:hAnsi="Verdana"/>
          <w:sz w:val="18"/>
          <w:szCs w:val="18"/>
        </w:rPr>
        <w:tab/>
        <w:t>the tender of &lt;date&gt;, reference (&lt;reference&gt;), submitted by the Counterparty to the Contracting Authority.</w:t>
      </w:r>
    </w:p>
    <w:p w14:paraId="37313090" w14:textId="77777777" w:rsidR="00B912A6" w:rsidRPr="00BD0E2D" w:rsidRDefault="00B912A6" w:rsidP="00BD0E2D">
      <w:pPr>
        <w:spacing w:after="0" w:line="240" w:lineRule="auto"/>
        <w:ind w:left="993" w:hanging="426"/>
        <w:rPr>
          <w:rFonts w:ascii="Verdana" w:hAnsi="Verdana"/>
          <w:sz w:val="18"/>
          <w:szCs w:val="18"/>
        </w:rPr>
      </w:pPr>
    </w:p>
    <w:p w14:paraId="1B11C56C" w14:textId="78484F46" w:rsidR="000C1FF0" w:rsidRDefault="000C1FF0" w:rsidP="004D7515">
      <w:pPr>
        <w:spacing w:after="0" w:line="240" w:lineRule="auto"/>
        <w:ind w:left="567" w:hanging="567"/>
        <w:rPr>
          <w:rFonts w:ascii="Verdana" w:hAnsi="Verdana"/>
          <w:sz w:val="18"/>
          <w:szCs w:val="18"/>
        </w:rPr>
      </w:pPr>
      <w:r>
        <w:rPr>
          <w:rFonts w:ascii="Verdana" w:hAnsi="Verdana"/>
          <w:sz w:val="18"/>
          <w:szCs w:val="18"/>
        </w:rPr>
        <w:t>2.4.</w:t>
      </w:r>
      <w:r>
        <w:rPr>
          <w:rFonts w:ascii="Verdana" w:hAnsi="Verdana"/>
          <w:sz w:val="18"/>
          <w:szCs w:val="18"/>
        </w:rPr>
        <w:tab/>
      </w:r>
      <w:r w:rsidRPr="0024108F">
        <w:rPr>
          <w:rFonts w:ascii="Verdana" w:hAnsi="Verdana"/>
          <w:b/>
          <w:bCs/>
          <w:i/>
          <w:iCs/>
          <w:sz w:val="18"/>
          <w:szCs w:val="18"/>
          <w:u w:val="single"/>
        </w:rPr>
        <w:t>&lt;OPTIONAL&gt;</w:t>
      </w:r>
      <w:r>
        <w:rPr>
          <w:rFonts w:ascii="Verdana" w:hAnsi="Verdana"/>
          <w:sz w:val="18"/>
          <w:szCs w:val="18"/>
        </w:rPr>
        <w:t xml:space="preserve"> There is an interrelationship as referred to in article 30.5 of the General Government Terms and Conditions for IT Contracts (</w:t>
      </w:r>
      <w:r w:rsidR="0059708B">
        <w:rPr>
          <w:rFonts w:ascii="Verdana" w:hAnsi="Verdana"/>
          <w:sz w:val="18"/>
          <w:szCs w:val="18"/>
        </w:rPr>
        <w:t>ARBIT-2022</w:t>
      </w:r>
      <w:r>
        <w:rPr>
          <w:rFonts w:ascii="Verdana" w:hAnsi="Verdana"/>
          <w:sz w:val="18"/>
          <w:szCs w:val="18"/>
        </w:rPr>
        <w:t>) between this Framework Agreement and &lt;title and reference of contract&gt;.</w:t>
      </w:r>
    </w:p>
    <w:p w14:paraId="13CF82B3" w14:textId="77777777" w:rsidR="004D7515" w:rsidRPr="00BD0E2D" w:rsidRDefault="004D7515" w:rsidP="004D7515">
      <w:pPr>
        <w:spacing w:after="0" w:line="240" w:lineRule="auto"/>
        <w:ind w:left="567" w:hanging="567"/>
        <w:rPr>
          <w:rFonts w:ascii="Verdana" w:hAnsi="Verdana"/>
          <w:sz w:val="18"/>
          <w:szCs w:val="18"/>
        </w:rPr>
      </w:pPr>
    </w:p>
    <w:p w14:paraId="1AD5C4ED" w14:textId="77777777" w:rsidR="000C1FF0" w:rsidRPr="00BD0E2D" w:rsidRDefault="000C1FF0" w:rsidP="0022731B">
      <w:pPr>
        <w:pStyle w:val="Kop1"/>
        <w:ind w:left="567" w:hanging="567"/>
        <w:rPr>
          <w:rFonts w:ascii="Verdana" w:hAnsi="Verdana"/>
          <w:sz w:val="18"/>
          <w:szCs w:val="18"/>
        </w:rPr>
      </w:pPr>
      <w:bookmarkStart w:id="4" w:name="_Toc130480772"/>
      <w:r>
        <w:rPr>
          <w:rFonts w:ascii="Verdana" w:hAnsi="Verdana"/>
          <w:sz w:val="18"/>
          <w:szCs w:val="18"/>
        </w:rPr>
        <w:t xml:space="preserve">3. </w:t>
      </w:r>
      <w:r>
        <w:rPr>
          <w:rFonts w:ascii="Verdana" w:hAnsi="Verdana"/>
          <w:sz w:val="18"/>
          <w:szCs w:val="18"/>
        </w:rPr>
        <w:tab/>
        <w:t>Contacts and reporting</w:t>
      </w:r>
      <w:bookmarkEnd w:id="4"/>
    </w:p>
    <w:p w14:paraId="15F07EE8" w14:textId="77777777" w:rsidR="004D7515" w:rsidRDefault="004D7515" w:rsidP="00BD0E2D">
      <w:pPr>
        <w:spacing w:after="0" w:line="240" w:lineRule="auto"/>
        <w:rPr>
          <w:rFonts w:ascii="Verdana" w:hAnsi="Verdana"/>
          <w:sz w:val="18"/>
          <w:szCs w:val="18"/>
        </w:rPr>
      </w:pPr>
    </w:p>
    <w:p w14:paraId="464156B5" w14:textId="7520D54F" w:rsidR="000C1FF0" w:rsidRDefault="000C1FF0" w:rsidP="004D7515">
      <w:pPr>
        <w:spacing w:after="0" w:line="240" w:lineRule="auto"/>
        <w:ind w:left="567" w:hanging="567"/>
        <w:rPr>
          <w:rFonts w:ascii="Verdana" w:hAnsi="Verdana"/>
          <w:sz w:val="18"/>
          <w:szCs w:val="18"/>
        </w:rPr>
      </w:pPr>
      <w:r>
        <w:rPr>
          <w:rFonts w:ascii="Verdana" w:hAnsi="Verdana"/>
          <w:sz w:val="18"/>
          <w:szCs w:val="18"/>
        </w:rPr>
        <w:t>3.1.</w:t>
      </w:r>
      <w:r>
        <w:rPr>
          <w:rFonts w:ascii="Verdana" w:hAnsi="Verdana"/>
          <w:sz w:val="18"/>
          <w:szCs w:val="18"/>
        </w:rPr>
        <w:tab/>
        <w:t>The persons who liaise on behalf of the parties in relation to the performance of the Framework Agreement are listed in the Contacts Schedule.</w:t>
      </w:r>
    </w:p>
    <w:p w14:paraId="07A41F1B" w14:textId="77777777" w:rsidR="00B912A6" w:rsidRPr="00BD0E2D" w:rsidRDefault="00B912A6" w:rsidP="004D7515">
      <w:pPr>
        <w:spacing w:after="0" w:line="240" w:lineRule="auto"/>
        <w:ind w:left="567" w:hanging="567"/>
        <w:rPr>
          <w:rFonts w:ascii="Verdana" w:hAnsi="Verdana"/>
          <w:sz w:val="18"/>
          <w:szCs w:val="18"/>
        </w:rPr>
      </w:pPr>
    </w:p>
    <w:p w14:paraId="53A84215" w14:textId="77777777" w:rsidR="000C1FF0" w:rsidRPr="00BD0E2D" w:rsidRDefault="000C1FF0" w:rsidP="004D7515">
      <w:pPr>
        <w:spacing w:after="0" w:line="240" w:lineRule="auto"/>
        <w:ind w:left="567" w:hanging="567"/>
        <w:rPr>
          <w:rFonts w:ascii="Verdana" w:hAnsi="Verdana"/>
          <w:sz w:val="18"/>
          <w:szCs w:val="18"/>
        </w:rPr>
      </w:pPr>
      <w:r>
        <w:rPr>
          <w:rFonts w:ascii="Verdana" w:hAnsi="Verdana"/>
          <w:sz w:val="18"/>
          <w:szCs w:val="18"/>
        </w:rPr>
        <w:t>3.2.</w:t>
      </w:r>
      <w:r>
        <w:rPr>
          <w:rFonts w:ascii="Verdana" w:hAnsi="Verdana"/>
          <w:sz w:val="18"/>
          <w:szCs w:val="18"/>
        </w:rPr>
        <w:tab/>
        <w:t xml:space="preserve">The Counterparty will report &lt;period&gt; on how the Framework Agreement is being performed. This report will at least comprise: </w:t>
      </w:r>
    </w:p>
    <w:p w14:paraId="78FC01C8" w14:textId="77777777" w:rsidR="000C1FF0" w:rsidRDefault="000C1FF0" w:rsidP="004D7515">
      <w:pPr>
        <w:spacing w:after="0" w:line="240" w:lineRule="auto"/>
        <w:ind w:left="567"/>
        <w:rPr>
          <w:rFonts w:ascii="Verdana" w:hAnsi="Verdana"/>
          <w:sz w:val="18"/>
          <w:szCs w:val="18"/>
        </w:rPr>
      </w:pPr>
      <w:r>
        <w:rPr>
          <w:rFonts w:ascii="Verdana" w:hAnsi="Verdana"/>
          <w:sz w:val="18"/>
          <w:szCs w:val="18"/>
        </w:rPr>
        <w:t>&lt;subject of the report&gt;.</w:t>
      </w:r>
    </w:p>
    <w:p w14:paraId="76DD53E8" w14:textId="77777777" w:rsidR="004D7515" w:rsidRPr="00BD0E2D" w:rsidRDefault="004D7515" w:rsidP="004D7515">
      <w:pPr>
        <w:spacing w:after="0" w:line="240" w:lineRule="auto"/>
        <w:ind w:left="567"/>
        <w:rPr>
          <w:rFonts w:ascii="Verdana" w:hAnsi="Verdana"/>
          <w:sz w:val="18"/>
          <w:szCs w:val="18"/>
        </w:rPr>
      </w:pPr>
    </w:p>
    <w:p w14:paraId="23E8EE08" w14:textId="77777777" w:rsidR="000C1FF0" w:rsidRPr="00BD0E2D" w:rsidRDefault="004D7515" w:rsidP="0022731B">
      <w:pPr>
        <w:pStyle w:val="Kop1"/>
        <w:ind w:left="567" w:hanging="567"/>
        <w:rPr>
          <w:rFonts w:ascii="Verdana" w:hAnsi="Verdana"/>
          <w:sz w:val="18"/>
          <w:szCs w:val="18"/>
        </w:rPr>
      </w:pPr>
      <w:bookmarkStart w:id="5" w:name="_Toc130480773"/>
      <w:r>
        <w:rPr>
          <w:rFonts w:ascii="Verdana" w:hAnsi="Verdana"/>
          <w:sz w:val="18"/>
          <w:szCs w:val="18"/>
        </w:rPr>
        <w:t>4.</w:t>
      </w:r>
      <w:r>
        <w:rPr>
          <w:rFonts w:ascii="Verdana" w:hAnsi="Verdana"/>
          <w:sz w:val="18"/>
          <w:szCs w:val="18"/>
        </w:rPr>
        <w:tab/>
        <w:t>Entry into force and term of the Framework Agreement</w:t>
      </w:r>
      <w:bookmarkEnd w:id="5"/>
    </w:p>
    <w:p w14:paraId="3A008166" w14:textId="77777777" w:rsidR="004D7515" w:rsidRDefault="004D7515" w:rsidP="00BD0E2D">
      <w:pPr>
        <w:spacing w:after="0" w:line="240" w:lineRule="auto"/>
        <w:rPr>
          <w:rFonts w:ascii="Verdana" w:hAnsi="Verdana"/>
          <w:sz w:val="18"/>
          <w:szCs w:val="18"/>
        </w:rPr>
      </w:pPr>
    </w:p>
    <w:p w14:paraId="43729A06" w14:textId="42E0C4E0" w:rsidR="000A0F44" w:rsidRDefault="000C1FF0" w:rsidP="004D7515">
      <w:pPr>
        <w:spacing w:after="0" w:line="240" w:lineRule="auto"/>
        <w:ind w:left="567" w:hanging="567"/>
        <w:rPr>
          <w:rFonts w:ascii="Verdana" w:hAnsi="Verdana"/>
          <w:sz w:val="18"/>
          <w:szCs w:val="18"/>
        </w:rPr>
      </w:pPr>
      <w:r>
        <w:rPr>
          <w:rFonts w:ascii="Verdana" w:hAnsi="Verdana"/>
          <w:sz w:val="18"/>
          <w:szCs w:val="18"/>
        </w:rPr>
        <w:t>4.1.</w:t>
      </w:r>
      <w:r>
        <w:rPr>
          <w:rFonts w:ascii="Verdana" w:hAnsi="Verdana"/>
          <w:sz w:val="18"/>
          <w:szCs w:val="18"/>
        </w:rPr>
        <w:tab/>
        <w:t>The Framework Agreement enters into force once it has been signed by both Parties.</w:t>
      </w:r>
    </w:p>
    <w:p w14:paraId="26B6A698" w14:textId="77777777" w:rsidR="00917A9B" w:rsidRPr="00BD0E2D" w:rsidRDefault="00917A9B" w:rsidP="004D7515">
      <w:pPr>
        <w:spacing w:after="0" w:line="240" w:lineRule="auto"/>
        <w:ind w:left="567" w:hanging="567"/>
        <w:rPr>
          <w:rFonts w:ascii="Verdana" w:hAnsi="Verdana"/>
          <w:sz w:val="18"/>
          <w:szCs w:val="18"/>
        </w:rPr>
      </w:pPr>
    </w:p>
    <w:p w14:paraId="63E930FE" w14:textId="222F6430" w:rsidR="00B912A6" w:rsidRDefault="000C1FF0" w:rsidP="002C1DA0">
      <w:pPr>
        <w:spacing w:after="0" w:line="240" w:lineRule="auto"/>
        <w:ind w:left="567" w:hanging="567"/>
        <w:rPr>
          <w:rFonts w:ascii="Verdana" w:hAnsi="Verdana"/>
          <w:sz w:val="18"/>
          <w:szCs w:val="18"/>
        </w:rPr>
      </w:pPr>
      <w:r>
        <w:rPr>
          <w:rFonts w:ascii="Verdana" w:hAnsi="Verdana"/>
          <w:sz w:val="18"/>
          <w:szCs w:val="18"/>
        </w:rPr>
        <w:lastRenderedPageBreak/>
        <w:t>4.2.</w:t>
      </w:r>
      <w:r>
        <w:rPr>
          <w:rFonts w:ascii="Verdana" w:hAnsi="Verdana"/>
          <w:sz w:val="18"/>
          <w:szCs w:val="18"/>
        </w:rPr>
        <w:tab/>
      </w:r>
      <w:r w:rsidRPr="00A93D3A">
        <w:rPr>
          <w:rFonts w:ascii="Verdana" w:hAnsi="Verdana"/>
          <w:i/>
          <w:iCs/>
          <w:sz w:val="18"/>
          <w:szCs w:val="18"/>
          <w:u w:val="single"/>
        </w:rPr>
        <w:t>&lt;</w:t>
      </w:r>
      <w:r w:rsidRPr="00A93D3A">
        <w:rPr>
          <w:rFonts w:ascii="Verdana" w:hAnsi="Verdana"/>
          <w:b/>
          <w:bCs/>
          <w:i/>
          <w:iCs/>
          <w:sz w:val="18"/>
          <w:szCs w:val="18"/>
          <w:u w:val="single"/>
        </w:rPr>
        <w:t>OPTIONAL</w:t>
      </w:r>
      <w:r>
        <w:rPr>
          <w:rFonts w:ascii="Verdana" w:hAnsi="Verdana"/>
          <w:i/>
          <w:iCs/>
          <w:sz w:val="18"/>
          <w:szCs w:val="18"/>
        </w:rPr>
        <w:t xml:space="preserve"> in the case of Framework Agreements that end through lapse of time&gt;</w:t>
      </w:r>
      <w:r>
        <w:rPr>
          <w:rFonts w:ascii="Verdana" w:hAnsi="Verdana"/>
          <w:sz w:val="18"/>
          <w:szCs w:val="18"/>
        </w:rPr>
        <w:t xml:space="preserve"> The Framework Agreement has a term of &lt;term&gt; and will end on &lt;date&gt;.</w:t>
      </w:r>
    </w:p>
    <w:p w14:paraId="0F235B02" w14:textId="77777777" w:rsidR="00A93D3A" w:rsidRPr="00BD0E2D" w:rsidRDefault="00A93D3A" w:rsidP="002C1DA0">
      <w:pPr>
        <w:spacing w:after="0" w:line="240" w:lineRule="auto"/>
        <w:ind w:left="567" w:hanging="567"/>
        <w:rPr>
          <w:rFonts w:ascii="Verdana" w:hAnsi="Verdana"/>
          <w:sz w:val="18"/>
          <w:szCs w:val="18"/>
        </w:rPr>
      </w:pPr>
    </w:p>
    <w:p w14:paraId="5A645DAE" w14:textId="04097085" w:rsidR="000C1FF0" w:rsidRDefault="000C1FF0" w:rsidP="004D7515">
      <w:pPr>
        <w:spacing w:after="0" w:line="240" w:lineRule="auto"/>
        <w:ind w:left="567" w:hanging="567"/>
        <w:rPr>
          <w:rFonts w:ascii="Verdana" w:hAnsi="Verdana"/>
          <w:sz w:val="18"/>
          <w:szCs w:val="18"/>
        </w:rPr>
      </w:pPr>
      <w:r>
        <w:rPr>
          <w:rFonts w:ascii="Verdana" w:hAnsi="Verdana"/>
          <w:sz w:val="18"/>
          <w:szCs w:val="18"/>
        </w:rPr>
        <w:t>4.3.</w:t>
      </w:r>
      <w:r>
        <w:rPr>
          <w:rFonts w:ascii="Verdana" w:hAnsi="Verdana"/>
          <w:sz w:val="18"/>
          <w:szCs w:val="18"/>
        </w:rPr>
        <w:tab/>
      </w:r>
      <w:r w:rsidRPr="00A93D3A">
        <w:rPr>
          <w:rFonts w:ascii="Verdana" w:hAnsi="Verdana"/>
          <w:i/>
          <w:iCs/>
          <w:sz w:val="18"/>
          <w:szCs w:val="18"/>
          <w:u w:val="single"/>
        </w:rPr>
        <w:t>&lt;</w:t>
      </w:r>
      <w:r w:rsidRPr="00A93D3A">
        <w:rPr>
          <w:rFonts w:ascii="Verdana" w:hAnsi="Verdana"/>
          <w:b/>
          <w:bCs/>
          <w:i/>
          <w:iCs/>
          <w:sz w:val="18"/>
          <w:szCs w:val="18"/>
          <w:u w:val="single"/>
        </w:rPr>
        <w:t>OPTIONAL</w:t>
      </w:r>
      <w:r>
        <w:rPr>
          <w:rFonts w:ascii="Verdana" w:hAnsi="Verdana"/>
          <w:i/>
          <w:iCs/>
          <w:sz w:val="18"/>
          <w:szCs w:val="18"/>
        </w:rPr>
        <w:t xml:space="preserve"> in the case of renewal options reserved in the contract award procedure&gt;</w:t>
      </w:r>
      <w:r>
        <w:rPr>
          <w:rFonts w:ascii="Verdana" w:hAnsi="Verdana"/>
          <w:sz w:val="18"/>
          <w:szCs w:val="18"/>
        </w:rPr>
        <w:t xml:space="preserve"> The Contracting Authority may renew the Framework Agreement on the same terms and conditions for a period of &lt;period&gt;. If the Contracting Authority wishes to exercise this right, it will give written notice of this to the Counterparty no later than &lt;number&gt; months before the end of the term referred to in article 4.2.</w:t>
      </w:r>
    </w:p>
    <w:p w14:paraId="792E5589" w14:textId="77777777" w:rsidR="00B912A6" w:rsidRDefault="00B912A6" w:rsidP="004D7515">
      <w:pPr>
        <w:spacing w:after="0" w:line="240" w:lineRule="auto"/>
        <w:ind w:left="567" w:hanging="567"/>
        <w:rPr>
          <w:rFonts w:ascii="Verdana" w:hAnsi="Verdana"/>
          <w:sz w:val="18"/>
          <w:szCs w:val="18"/>
        </w:rPr>
      </w:pPr>
    </w:p>
    <w:p w14:paraId="576AC0FD" w14:textId="30C2464A" w:rsidR="004D7515" w:rsidRDefault="002A79CB" w:rsidP="004D7515">
      <w:pPr>
        <w:spacing w:after="0" w:line="240" w:lineRule="auto"/>
        <w:ind w:left="567" w:hanging="567"/>
        <w:rPr>
          <w:rFonts w:ascii="Verdana" w:hAnsi="Verdana"/>
          <w:sz w:val="18"/>
          <w:szCs w:val="18"/>
        </w:rPr>
      </w:pPr>
      <w:r>
        <w:rPr>
          <w:rFonts w:ascii="Verdana" w:hAnsi="Verdana"/>
          <w:sz w:val="18"/>
          <w:szCs w:val="18"/>
        </w:rPr>
        <w:t>4.4.</w:t>
      </w:r>
      <w:r>
        <w:rPr>
          <w:rFonts w:ascii="Verdana" w:hAnsi="Verdana"/>
          <w:sz w:val="18"/>
          <w:szCs w:val="18"/>
        </w:rPr>
        <w:tab/>
        <w:t xml:space="preserve">In addition to the provisions of article 30 of the </w:t>
      </w:r>
      <w:r w:rsidR="0059708B">
        <w:rPr>
          <w:rFonts w:ascii="Verdana" w:hAnsi="Verdana"/>
          <w:sz w:val="18"/>
          <w:szCs w:val="18"/>
        </w:rPr>
        <w:t>ARBIT-2022</w:t>
      </w:r>
      <w:r>
        <w:rPr>
          <w:rFonts w:ascii="Verdana" w:hAnsi="Verdana"/>
          <w:sz w:val="18"/>
          <w:szCs w:val="18"/>
        </w:rPr>
        <w:t>, the Contracting Authority may terminate the Framework Agreement in writing with immediate effect if the maximum quantity and/or value referred to in the tender documents has been reached or may be exceeded by the next contract award. The Contracting Authority does not have to indemnify the Counterparty in any way for the consequences of the termination of the Framework Agreement.</w:t>
      </w:r>
    </w:p>
    <w:p w14:paraId="357A8F84" w14:textId="77777777" w:rsidR="004D7515" w:rsidRPr="00BD0E2D" w:rsidRDefault="004D7515" w:rsidP="004D7515">
      <w:pPr>
        <w:spacing w:after="0" w:line="240" w:lineRule="auto"/>
        <w:ind w:left="567" w:hanging="567"/>
        <w:rPr>
          <w:rFonts w:ascii="Verdana" w:hAnsi="Verdana"/>
          <w:sz w:val="18"/>
          <w:szCs w:val="18"/>
        </w:rPr>
      </w:pPr>
    </w:p>
    <w:p w14:paraId="39E07A1E" w14:textId="77777777" w:rsidR="000C1FF0" w:rsidRPr="00BD0E2D" w:rsidRDefault="000C1FF0" w:rsidP="0022731B">
      <w:pPr>
        <w:pStyle w:val="Kop1"/>
        <w:ind w:left="567" w:hanging="567"/>
        <w:rPr>
          <w:rFonts w:ascii="Verdana" w:hAnsi="Verdana"/>
          <w:sz w:val="18"/>
          <w:szCs w:val="18"/>
        </w:rPr>
      </w:pPr>
      <w:bookmarkStart w:id="6" w:name="_Toc130480774"/>
      <w:r>
        <w:rPr>
          <w:rFonts w:ascii="Verdana" w:hAnsi="Verdana"/>
          <w:sz w:val="18"/>
          <w:szCs w:val="18"/>
        </w:rPr>
        <w:t xml:space="preserve">5. </w:t>
      </w:r>
      <w:r>
        <w:rPr>
          <w:rFonts w:ascii="Verdana" w:hAnsi="Verdana"/>
          <w:sz w:val="18"/>
          <w:szCs w:val="18"/>
        </w:rPr>
        <w:tab/>
        <w:t>Mini-competition</w:t>
      </w:r>
      <w:bookmarkEnd w:id="6"/>
    </w:p>
    <w:p w14:paraId="73B9AF75" w14:textId="77777777" w:rsidR="004D7515" w:rsidRDefault="004D7515" w:rsidP="00BD0E2D">
      <w:pPr>
        <w:spacing w:after="0" w:line="240" w:lineRule="auto"/>
        <w:rPr>
          <w:rFonts w:ascii="Verdana" w:hAnsi="Verdana"/>
          <w:sz w:val="18"/>
          <w:szCs w:val="18"/>
        </w:rPr>
      </w:pPr>
    </w:p>
    <w:p w14:paraId="358CFE2F" w14:textId="3E49F566" w:rsidR="000C1FF0" w:rsidRDefault="000C1FF0" w:rsidP="004D7515">
      <w:pPr>
        <w:spacing w:after="0" w:line="240" w:lineRule="auto"/>
        <w:ind w:left="567" w:hanging="567"/>
        <w:rPr>
          <w:rFonts w:ascii="Verdana" w:hAnsi="Verdana"/>
          <w:sz w:val="18"/>
          <w:szCs w:val="18"/>
        </w:rPr>
      </w:pPr>
      <w:r>
        <w:rPr>
          <w:rFonts w:ascii="Verdana" w:hAnsi="Verdana"/>
          <w:sz w:val="18"/>
          <w:szCs w:val="18"/>
        </w:rPr>
        <w:t>5.1.</w:t>
      </w:r>
      <w:r>
        <w:rPr>
          <w:rFonts w:ascii="Verdana" w:hAnsi="Verdana"/>
          <w:sz w:val="18"/>
          <w:szCs w:val="18"/>
        </w:rPr>
        <w:tab/>
        <w:t>The Contracting Authority may once again invite the Counterparty to participate in competitive selection by means of a further call for competition.</w:t>
      </w:r>
    </w:p>
    <w:p w14:paraId="36581270" w14:textId="77777777" w:rsidR="00B912A6" w:rsidRPr="00BD0E2D" w:rsidRDefault="00B912A6" w:rsidP="004D7515">
      <w:pPr>
        <w:spacing w:after="0" w:line="240" w:lineRule="auto"/>
        <w:ind w:left="567" w:hanging="567"/>
        <w:rPr>
          <w:rFonts w:ascii="Verdana" w:hAnsi="Verdana"/>
          <w:sz w:val="18"/>
          <w:szCs w:val="18"/>
        </w:rPr>
      </w:pPr>
    </w:p>
    <w:p w14:paraId="7D003374" w14:textId="6BC817FE" w:rsidR="000C1FF0" w:rsidRDefault="000C1FF0" w:rsidP="004D7515">
      <w:pPr>
        <w:spacing w:after="0" w:line="240" w:lineRule="auto"/>
        <w:ind w:left="567" w:hanging="567"/>
        <w:rPr>
          <w:rFonts w:ascii="Verdana" w:hAnsi="Verdana"/>
          <w:sz w:val="18"/>
          <w:szCs w:val="18"/>
        </w:rPr>
      </w:pPr>
      <w:r>
        <w:rPr>
          <w:rFonts w:ascii="Verdana" w:hAnsi="Verdana"/>
          <w:sz w:val="18"/>
          <w:szCs w:val="18"/>
        </w:rPr>
        <w:t>5.2.</w:t>
      </w:r>
      <w:r>
        <w:rPr>
          <w:rFonts w:ascii="Verdana" w:hAnsi="Verdana"/>
          <w:sz w:val="18"/>
          <w:szCs w:val="18"/>
        </w:rPr>
        <w:tab/>
        <w:t>The Counterparty will submit a further tender to the Contracting Authority at the address specified in the Contacts Schedule within &lt;number&gt; days of the date of the further call for competition. The term specified for this purpose is a Vital Deadline.</w:t>
      </w:r>
    </w:p>
    <w:p w14:paraId="764D6C26" w14:textId="77777777" w:rsidR="00B912A6" w:rsidRPr="00BD0E2D" w:rsidRDefault="00B912A6" w:rsidP="004D7515">
      <w:pPr>
        <w:spacing w:after="0" w:line="240" w:lineRule="auto"/>
        <w:ind w:left="567" w:hanging="567"/>
        <w:rPr>
          <w:rFonts w:ascii="Verdana" w:hAnsi="Verdana"/>
          <w:sz w:val="18"/>
          <w:szCs w:val="18"/>
        </w:rPr>
      </w:pPr>
    </w:p>
    <w:p w14:paraId="0BC2D5F1" w14:textId="133AD7D5" w:rsidR="000C1FF0" w:rsidRDefault="000C1FF0" w:rsidP="004D7515">
      <w:pPr>
        <w:spacing w:after="0" w:line="240" w:lineRule="auto"/>
        <w:ind w:left="567" w:hanging="567"/>
        <w:rPr>
          <w:rFonts w:ascii="Verdana" w:hAnsi="Verdana"/>
          <w:sz w:val="18"/>
          <w:szCs w:val="18"/>
        </w:rPr>
      </w:pPr>
      <w:r>
        <w:rPr>
          <w:rFonts w:ascii="Verdana" w:hAnsi="Verdana"/>
          <w:sz w:val="18"/>
          <w:szCs w:val="18"/>
        </w:rPr>
        <w:t>5.3.</w:t>
      </w:r>
      <w:r>
        <w:rPr>
          <w:rFonts w:ascii="Verdana" w:hAnsi="Verdana"/>
          <w:sz w:val="18"/>
          <w:szCs w:val="18"/>
        </w:rPr>
        <w:tab/>
        <w:t>If the further tender is not received by the Contracting Authority within the period referred to in article 5.2 or it does not meet the requirements set for this purpose, the Counterparty will be deemed not to have submitted the further tender.</w:t>
      </w:r>
    </w:p>
    <w:p w14:paraId="5376BAC1" w14:textId="77777777" w:rsidR="00B912A6" w:rsidRPr="00BD0E2D" w:rsidRDefault="00B912A6" w:rsidP="004D7515">
      <w:pPr>
        <w:spacing w:after="0" w:line="240" w:lineRule="auto"/>
        <w:ind w:left="567" w:hanging="567"/>
        <w:rPr>
          <w:rFonts w:ascii="Verdana" w:hAnsi="Verdana"/>
          <w:sz w:val="18"/>
          <w:szCs w:val="18"/>
        </w:rPr>
      </w:pPr>
    </w:p>
    <w:p w14:paraId="4C962823" w14:textId="0CE756AF" w:rsidR="000C1FF0" w:rsidRDefault="000C1FF0" w:rsidP="004D7515">
      <w:pPr>
        <w:spacing w:after="0" w:line="240" w:lineRule="auto"/>
        <w:ind w:left="567" w:hanging="567"/>
        <w:rPr>
          <w:rFonts w:ascii="Verdana" w:hAnsi="Verdana"/>
          <w:sz w:val="18"/>
          <w:szCs w:val="18"/>
        </w:rPr>
      </w:pPr>
      <w:r>
        <w:rPr>
          <w:rFonts w:ascii="Verdana" w:hAnsi="Verdana"/>
          <w:sz w:val="18"/>
          <w:szCs w:val="18"/>
        </w:rPr>
        <w:t>5.4.</w:t>
      </w:r>
      <w:r>
        <w:rPr>
          <w:rFonts w:ascii="Verdana" w:hAnsi="Verdana"/>
          <w:sz w:val="18"/>
          <w:szCs w:val="18"/>
        </w:rPr>
        <w:tab/>
        <w:t>The Contracting Authority may impose a fine of &lt;amount&gt; on the Counterparty for each occasion that the Counterparty fails to submit a further tender in response to a request from the Contracting Authority to this effect.</w:t>
      </w:r>
    </w:p>
    <w:p w14:paraId="21F51F83" w14:textId="77777777" w:rsidR="00B912A6" w:rsidRPr="00BD0E2D" w:rsidRDefault="00B912A6" w:rsidP="004D7515">
      <w:pPr>
        <w:spacing w:after="0" w:line="240" w:lineRule="auto"/>
        <w:ind w:left="567" w:hanging="567"/>
        <w:rPr>
          <w:rFonts w:ascii="Verdana" w:hAnsi="Verdana"/>
          <w:sz w:val="18"/>
          <w:szCs w:val="18"/>
        </w:rPr>
      </w:pPr>
    </w:p>
    <w:p w14:paraId="378E9949" w14:textId="53C6B74F" w:rsidR="000C1FF0" w:rsidRDefault="000C1FF0" w:rsidP="004D7515">
      <w:pPr>
        <w:spacing w:after="0" w:line="240" w:lineRule="auto"/>
        <w:ind w:left="567" w:hanging="567"/>
        <w:rPr>
          <w:rFonts w:ascii="Verdana" w:hAnsi="Verdana"/>
          <w:sz w:val="18"/>
          <w:szCs w:val="18"/>
        </w:rPr>
      </w:pPr>
      <w:r>
        <w:rPr>
          <w:rFonts w:ascii="Verdana" w:hAnsi="Verdana"/>
          <w:sz w:val="18"/>
          <w:szCs w:val="18"/>
        </w:rPr>
        <w:t>5.5.</w:t>
      </w:r>
      <w:r>
        <w:rPr>
          <w:rFonts w:ascii="Verdana" w:hAnsi="Verdana"/>
          <w:sz w:val="18"/>
          <w:szCs w:val="18"/>
        </w:rPr>
        <w:tab/>
      </w:r>
      <w:r w:rsidRPr="00A93D3A">
        <w:rPr>
          <w:rFonts w:ascii="Verdana" w:hAnsi="Verdana"/>
          <w:b/>
          <w:bCs/>
          <w:i/>
          <w:iCs/>
          <w:sz w:val="18"/>
          <w:szCs w:val="18"/>
          <w:u w:val="single"/>
        </w:rPr>
        <w:t>&lt;OPTIONAL&gt;</w:t>
      </w:r>
      <w:r>
        <w:rPr>
          <w:rFonts w:ascii="Verdana" w:hAnsi="Verdana"/>
          <w:sz w:val="18"/>
          <w:szCs w:val="18"/>
        </w:rPr>
        <w:t xml:space="preserve"> The fine referred to in article 5.4 does not apply if the Counterparty has made a reasoned request for exemption from submitting a further tender in a particular case and the Contracting Authority has granted this request. The Contracting Authority will not refuse a request for exemption on unreasonable grounds.</w:t>
      </w:r>
    </w:p>
    <w:p w14:paraId="09733FEC" w14:textId="77777777" w:rsidR="00B912A6" w:rsidRPr="00BD0E2D" w:rsidRDefault="00B912A6" w:rsidP="004D7515">
      <w:pPr>
        <w:spacing w:after="0" w:line="240" w:lineRule="auto"/>
        <w:ind w:left="567" w:hanging="567"/>
        <w:rPr>
          <w:rFonts w:ascii="Verdana" w:hAnsi="Verdana"/>
          <w:sz w:val="18"/>
          <w:szCs w:val="18"/>
        </w:rPr>
      </w:pPr>
    </w:p>
    <w:p w14:paraId="749B65CD" w14:textId="2567FBA1" w:rsidR="000C1FF0" w:rsidRDefault="000C1FF0" w:rsidP="004D7515">
      <w:pPr>
        <w:spacing w:after="0" w:line="240" w:lineRule="auto"/>
        <w:ind w:left="567" w:hanging="567"/>
        <w:rPr>
          <w:rFonts w:ascii="Verdana" w:hAnsi="Verdana"/>
          <w:sz w:val="18"/>
          <w:szCs w:val="18"/>
        </w:rPr>
      </w:pPr>
      <w:r>
        <w:rPr>
          <w:rFonts w:ascii="Verdana" w:hAnsi="Verdana"/>
          <w:sz w:val="18"/>
          <w:szCs w:val="18"/>
        </w:rPr>
        <w:t>5.6.</w:t>
      </w:r>
      <w:r>
        <w:rPr>
          <w:rFonts w:ascii="Verdana" w:hAnsi="Verdana"/>
          <w:sz w:val="18"/>
          <w:szCs w:val="18"/>
        </w:rPr>
        <w:tab/>
        <w:t>The Contracting Authority will evaluate the further tender on the basis of the criteria recorded in the Specifications and will inform the Counterparty of the outcome with due dispatch. A rejection of the further tender will be &lt;explained/accompanied by the relevant reasons&gt;.</w:t>
      </w:r>
    </w:p>
    <w:p w14:paraId="212D207D" w14:textId="77777777" w:rsidR="00B912A6" w:rsidRPr="00BD0E2D" w:rsidRDefault="00B912A6" w:rsidP="004D7515">
      <w:pPr>
        <w:spacing w:after="0" w:line="240" w:lineRule="auto"/>
        <w:ind w:left="567" w:hanging="567"/>
        <w:rPr>
          <w:rFonts w:ascii="Verdana" w:hAnsi="Verdana"/>
          <w:sz w:val="18"/>
          <w:szCs w:val="18"/>
        </w:rPr>
      </w:pPr>
    </w:p>
    <w:p w14:paraId="089D52FA" w14:textId="5B441C72" w:rsidR="000C1FF0" w:rsidRDefault="000C1FF0" w:rsidP="004D7515">
      <w:pPr>
        <w:spacing w:after="0" w:line="240" w:lineRule="auto"/>
        <w:ind w:left="567" w:hanging="567"/>
        <w:rPr>
          <w:rFonts w:ascii="Verdana" w:hAnsi="Verdana"/>
          <w:sz w:val="18"/>
          <w:szCs w:val="18"/>
        </w:rPr>
      </w:pPr>
      <w:r>
        <w:rPr>
          <w:rFonts w:ascii="Verdana" w:hAnsi="Verdana"/>
          <w:sz w:val="18"/>
          <w:szCs w:val="18"/>
        </w:rPr>
        <w:t>5.7.</w:t>
      </w:r>
      <w:r>
        <w:rPr>
          <w:rFonts w:ascii="Verdana" w:hAnsi="Verdana"/>
          <w:sz w:val="18"/>
          <w:szCs w:val="18"/>
        </w:rPr>
        <w:tab/>
      </w:r>
      <w:r w:rsidRPr="00A93D3A">
        <w:rPr>
          <w:rFonts w:ascii="Verdana" w:hAnsi="Verdana"/>
          <w:b/>
          <w:bCs/>
          <w:i/>
          <w:iCs/>
          <w:sz w:val="18"/>
          <w:szCs w:val="18"/>
          <w:u w:val="single"/>
        </w:rPr>
        <w:t>&lt;OPTIONAL&gt;</w:t>
      </w:r>
      <w:r>
        <w:rPr>
          <w:rFonts w:ascii="Verdana" w:hAnsi="Verdana"/>
          <w:sz w:val="18"/>
          <w:szCs w:val="18"/>
        </w:rPr>
        <w:t xml:space="preserve"> If the value of the contract specified in the further call for competition exceeds the applicable threshold for the award of contracts, the Contracting Authority will not award the contract until a period of 20 days after dispatch of the outcome of the evaluation referred to in article 5.6 has elapsed.</w:t>
      </w:r>
    </w:p>
    <w:p w14:paraId="5F0434BA" w14:textId="77777777" w:rsidR="00B912A6" w:rsidRPr="00BD0E2D" w:rsidRDefault="00B912A6" w:rsidP="004D7515">
      <w:pPr>
        <w:spacing w:after="0" w:line="240" w:lineRule="auto"/>
        <w:ind w:left="567" w:hanging="567"/>
        <w:rPr>
          <w:rFonts w:ascii="Verdana" w:hAnsi="Verdana"/>
          <w:sz w:val="18"/>
          <w:szCs w:val="18"/>
        </w:rPr>
      </w:pPr>
    </w:p>
    <w:p w14:paraId="1684EAB5" w14:textId="3F67B251" w:rsidR="000C1FF0" w:rsidRDefault="000C1FF0" w:rsidP="004D7515">
      <w:pPr>
        <w:spacing w:after="0" w:line="240" w:lineRule="auto"/>
        <w:ind w:left="567" w:hanging="567"/>
        <w:rPr>
          <w:rFonts w:ascii="Verdana" w:hAnsi="Verdana"/>
          <w:sz w:val="18"/>
          <w:szCs w:val="18"/>
        </w:rPr>
      </w:pPr>
      <w:r>
        <w:rPr>
          <w:rFonts w:ascii="Verdana" w:hAnsi="Verdana"/>
          <w:sz w:val="18"/>
          <w:szCs w:val="18"/>
        </w:rPr>
        <w:t>5.8.</w:t>
      </w:r>
      <w:r>
        <w:rPr>
          <w:rFonts w:ascii="Verdana" w:hAnsi="Verdana"/>
          <w:sz w:val="18"/>
          <w:szCs w:val="18"/>
        </w:rPr>
        <w:tab/>
        <w:t>If the Counterparty repeatedly fails to submit a further tender, the Contracting Authority may cancel the Framework Agreement.</w:t>
      </w:r>
    </w:p>
    <w:p w14:paraId="083092BD" w14:textId="77777777" w:rsidR="00B912A6" w:rsidRPr="00BD0E2D" w:rsidRDefault="00B912A6" w:rsidP="004D7515">
      <w:pPr>
        <w:spacing w:after="0" w:line="240" w:lineRule="auto"/>
        <w:ind w:left="567" w:hanging="567"/>
        <w:rPr>
          <w:rFonts w:ascii="Verdana" w:hAnsi="Verdana"/>
          <w:sz w:val="18"/>
          <w:szCs w:val="18"/>
        </w:rPr>
      </w:pPr>
    </w:p>
    <w:p w14:paraId="042CE9D7" w14:textId="77777777" w:rsidR="000C1FF0" w:rsidRDefault="000C1FF0" w:rsidP="004D7515">
      <w:pPr>
        <w:spacing w:after="0" w:line="240" w:lineRule="auto"/>
        <w:ind w:left="567" w:hanging="567"/>
        <w:rPr>
          <w:rFonts w:ascii="Verdana" w:hAnsi="Verdana"/>
          <w:sz w:val="18"/>
          <w:szCs w:val="18"/>
        </w:rPr>
      </w:pPr>
      <w:r>
        <w:rPr>
          <w:rFonts w:ascii="Verdana" w:hAnsi="Verdana"/>
          <w:sz w:val="18"/>
          <w:szCs w:val="18"/>
        </w:rPr>
        <w:t>5.9.</w:t>
      </w:r>
      <w:r>
        <w:rPr>
          <w:rFonts w:ascii="Verdana" w:hAnsi="Verdana"/>
          <w:sz w:val="18"/>
          <w:szCs w:val="18"/>
        </w:rPr>
        <w:tab/>
      </w:r>
      <w:r w:rsidRPr="00A93D3A">
        <w:rPr>
          <w:rFonts w:ascii="Verdana" w:hAnsi="Verdana"/>
          <w:b/>
          <w:bCs/>
          <w:i/>
          <w:iCs/>
          <w:sz w:val="18"/>
          <w:szCs w:val="18"/>
          <w:u w:val="single"/>
        </w:rPr>
        <w:t>&lt;OPTIONAL&gt;</w:t>
      </w:r>
      <w:r>
        <w:rPr>
          <w:rFonts w:ascii="Verdana" w:hAnsi="Verdana"/>
          <w:sz w:val="18"/>
          <w:szCs w:val="18"/>
        </w:rPr>
        <w:t xml:space="preserve"> If none of the Counterparties called upon by the Contracting Authority to participate in competitive selection submits a further tender in response to a request to this effect from the Contracting Authority, the Contracting Authority may award the contract to a third party.</w:t>
      </w:r>
    </w:p>
    <w:p w14:paraId="089D4438" w14:textId="5A671FD6" w:rsidR="00B912A6" w:rsidRDefault="00B912A6" w:rsidP="004147D0">
      <w:pPr>
        <w:spacing w:after="0" w:line="240" w:lineRule="auto"/>
        <w:rPr>
          <w:rFonts w:ascii="Verdana" w:hAnsi="Verdana"/>
          <w:sz w:val="18"/>
          <w:szCs w:val="18"/>
        </w:rPr>
      </w:pPr>
    </w:p>
    <w:p w14:paraId="413D32DA" w14:textId="63D4B46D" w:rsidR="00A93D3A" w:rsidRDefault="00A93D3A" w:rsidP="004147D0">
      <w:pPr>
        <w:spacing w:after="0" w:line="240" w:lineRule="auto"/>
        <w:rPr>
          <w:rFonts w:ascii="Verdana" w:hAnsi="Verdana"/>
          <w:sz w:val="18"/>
          <w:szCs w:val="18"/>
        </w:rPr>
      </w:pPr>
    </w:p>
    <w:p w14:paraId="721AB4A1" w14:textId="77777777" w:rsidR="00A93D3A" w:rsidRPr="00BD0E2D" w:rsidRDefault="00A93D3A" w:rsidP="004147D0">
      <w:pPr>
        <w:spacing w:after="0" w:line="240" w:lineRule="auto"/>
        <w:rPr>
          <w:rFonts w:ascii="Verdana" w:hAnsi="Verdana"/>
          <w:sz w:val="18"/>
          <w:szCs w:val="18"/>
        </w:rPr>
      </w:pPr>
    </w:p>
    <w:p w14:paraId="6A1D4721" w14:textId="77777777" w:rsidR="000C1FF0" w:rsidRPr="00BD0E2D" w:rsidRDefault="00FB60CD" w:rsidP="00FB60CD">
      <w:pPr>
        <w:pStyle w:val="Kop1"/>
        <w:ind w:left="567" w:hanging="567"/>
        <w:rPr>
          <w:rFonts w:ascii="Verdana" w:hAnsi="Verdana"/>
          <w:sz w:val="18"/>
          <w:szCs w:val="18"/>
        </w:rPr>
      </w:pPr>
      <w:bookmarkStart w:id="7" w:name="_Toc130480775"/>
      <w:r>
        <w:rPr>
          <w:rFonts w:ascii="Verdana" w:hAnsi="Verdana"/>
          <w:sz w:val="18"/>
          <w:szCs w:val="18"/>
        </w:rPr>
        <w:lastRenderedPageBreak/>
        <w:t>6.</w:t>
      </w:r>
      <w:r>
        <w:rPr>
          <w:rFonts w:ascii="Verdana" w:hAnsi="Verdana"/>
          <w:sz w:val="18"/>
          <w:szCs w:val="18"/>
        </w:rPr>
        <w:tab/>
        <w:t>Prices and rates</w:t>
      </w:r>
      <w:bookmarkEnd w:id="7"/>
    </w:p>
    <w:p w14:paraId="003EA584" w14:textId="77777777" w:rsidR="00FB60CD" w:rsidRDefault="00FB60CD" w:rsidP="00BD0E2D">
      <w:pPr>
        <w:spacing w:after="0" w:line="240" w:lineRule="auto"/>
        <w:rPr>
          <w:rFonts w:ascii="Verdana" w:hAnsi="Verdana"/>
          <w:sz w:val="18"/>
          <w:szCs w:val="18"/>
        </w:rPr>
      </w:pPr>
    </w:p>
    <w:p w14:paraId="7E607B56" w14:textId="34DD66EB" w:rsidR="000C1FF0" w:rsidRDefault="000C1FF0" w:rsidP="00FB60CD">
      <w:pPr>
        <w:spacing w:after="0" w:line="240" w:lineRule="auto"/>
        <w:ind w:left="567" w:hanging="567"/>
        <w:rPr>
          <w:rFonts w:ascii="Verdana" w:hAnsi="Verdana"/>
          <w:sz w:val="18"/>
          <w:szCs w:val="18"/>
        </w:rPr>
      </w:pPr>
      <w:r>
        <w:rPr>
          <w:rFonts w:ascii="Verdana" w:hAnsi="Verdana"/>
          <w:sz w:val="18"/>
          <w:szCs w:val="18"/>
        </w:rPr>
        <w:t>6.1.</w:t>
      </w:r>
      <w:r>
        <w:rPr>
          <w:rFonts w:ascii="Verdana" w:hAnsi="Verdana"/>
          <w:sz w:val="18"/>
          <w:szCs w:val="18"/>
        </w:rPr>
        <w:tab/>
      </w:r>
      <w:r w:rsidRPr="00A93D3A">
        <w:rPr>
          <w:rFonts w:ascii="Verdana" w:hAnsi="Verdana"/>
          <w:b/>
          <w:bCs/>
          <w:i/>
          <w:iCs/>
          <w:sz w:val="18"/>
          <w:szCs w:val="18"/>
          <w:u w:val="single"/>
        </w:rPr>
        <w:t>&lt;OPTIONAL&gt;</w:t>
      </w:r>
      <w:r>
        <w:rPr>
          <w:rFonts w:ascii="Verdana" w:hAnsi="Verdana"/>
          <w:sz w:val="18"/>
          <w:szCs w:val="18"/>
        </w:rPr>
        <w:t xml:space="preserve"> The maximum price that may be tendered by the Counterparty to the Contracting Authority in response to a further call for competition as referred to in article 5 is recorded in the Financial Agreements File (Financial Agreements File Schedule).</w:t>
      </w:r>
    </w:p>
    <w:p w14:paraId="217E45F3" w14:textId="77777777" w:rsidR="00B912A6" w:rsidRPr="00BD0E2D" w:rsidRDefault="00B912A6" w:rsidP="00FB60CD">
      <w:pPr>
        <w:spacing w:after="0" w:line="240" w:lineRule="auto"/>
        <w:ind w:left="567" w:hanging="567"/>
        <w:rPr>
          <w:rFonts w:ascii="Verdana" w:hAnsi="Verdana"/>
          <w:sz w:val="18"/>
          <w:szCs w:val="18"/>
        </w:rPr>
      </w:pPr>
    </w:p>
    <w:p w14:paraId="56688FE6" w14:textId="77777777" w:rsidR="000C1FF0" w:rsidRPr="00BD0E2D" w:rsidRDefault="000C1FF0" w:rsidP="00FB60CD">
      <w:pPr>
        <w:spacing w:after="0" w:line="240" w:lineRule="auto"/>
        <w:ind w:left="567" w:hanging="567"/>
        <w:rPr>
          <w:rFonts w:ascii="Verdana" w:hAnsi="Verdana"/>
          <w:sz w:val="18"/>
          <w:szCs w:val="18"/>
        </w:rPr>
      </w:pPr>
      <w:r>
        <w:rPr>
          <w:rFonts w:ascii="Verdana" w:hAnsi="Verdana"/>
          <w:sz w:val="18"/>
          <w:szCs w:val="18"/>
        </w:rPr>
        <w:t>6.2.</w:t>
      </w:r>
      <w:r>
        <w:rPr>
          <w:rFonts w:ascii="Verdana" w:hAnsi="Verdana"/>
          <w:sz w:val="18"/>
          <w:szCs w:val="18"/>
        </w:rPr>
        <w:tab/>
      </w:r>
      <w:r w:rsidRPr="00A93D3A">
        <w:rPr>
          <w:rFonts w:ascii="Verdana" w:hAnsi="Verdana"/>
          <w:b/>
          <w:bCs/>
          <w:i/>
          <w:iCs/>
          <w:sz w:val="18"/>
          <w:szCs w:val="18"/>
          <w:u w:val="single"/>
        </w:rPr>
        <w:t>&lt;OPTIONAL&gt;</w:t>
      </w:r>
      <w:r>
        <w:rPr>
          <w:rFonts w:ascii="Verdana" w:hAnsi="Verdana"/>
          <w:sz w:val="18"/>
          <w:szCs w:val="18"/>
        </w:rPr>
        <w:t xml:space="preserve"> After &lt;date&gt; the agreed prices and rates may be adjusted once a year on &lt;date&gt; by a percentage not exceeding the price index published by Statistics Netherlands for hourly rates of pay including special remuneration established under collective labour agreements in the business services sector. The figure for the previous month &lt;month&gt; will be used, with the figure for (&lt;month, year&gt;) being set at 100%. </w:t>
      </w:r>
    </w:p>
    <w:p w14:paraId="046543F3" w14:textId="77777777" w:rsidR="00FB60CD" w:rsidRDefault="00FB60CD" w:rsidP="00BD0E2D">
      <w:pPr>
        <w:spacing w:after="0" w:line="240" w:lineRule="auto"/>
        <w:rPr>
          <w:rFonts w:ascii="Verdana" w:hAnsi="Verdana"/>
          <w:sz w:val="18"/>
          <w:szCs w:val="18"/>
        </w:rPr>
      </w:pPr>
    </w:p>
    <w:p w14:paraId="3BEC6924" w14:textId="77777777" w:rsidR="000C1FF0" w:rsidRPr="00BD0E2D" w:rsidRDefault="00FB60CD" w:rsidP="0022731B">
      <w:pPr>
        <w:pStyle w:val="Kop1"/>
        <w:ind w:left="567" w:hanging="567"/>
        <w:rPr>
          <w:rFonts w:ascii="Verdana" w:hAnsi="Verdana"/>
          <w:sz w:val="18"/>
          <w:szCs w:val="18"/>
        </w:rPr>
      </w:pPr>
      <w:bookmarkStart w:id="8" w:name="_Toc130480776"/>
      <w:r>
        <w:rPr>
          <w:rFonts w:ascii="Verdana" w:hAnsi="Verdana"/>
          <w:sz w:val="18"/>
          <w:szCs w:val="18"/>
        </w:rPr>
        <w:t>7.</w:t>
      </w:r>
      <w:r>
        <w:rPr>
          <w:rFonts w:ascii="Verdana" w:hAnsi="Verdana"/>
          <w:sz w:val="18"/>
          <w:szCs w:val="18"/>
        </w:rPr>
        <w:tab/>
        <w:t>Invoicing and payment</w:t>
      </w:r>
      <w:bookmarkEnd w:id="8"/>
    </w:p>
    <w:p w14:paraId="778A55D4" w14:textId="77777777" w:rsidR="00FB60CD" w:rsidRDefault="00FB60CD" w:rsidP="00FB60CD">
      <w:pPr>
        <w:spacing w:after="0" w:line="240" w:lineRule="auto"/>
        <w:ind w:left="567" w:hanging="567"/>
        <w:rPr>
          <w:rFonts w:ascii="Verdana" w:hAnsi="Verdana"/>
          <w:sz w:val="18"/>
          <w:szCs w:val="18"/>
        </w:rPr>
      </w:pPr>
    </w:p>
    <w:p w14:paraId="110B985C" w14:textId="28427C24" w:rsidR="000C1FF0" w:rsidRPr="00BD0E2D" w:rsidRDefault="000C1FF0" w:rsidP="00FB60CD">
      <w:pPr>
        <w:spacing w:after="0" w:line="240" w:lineRule="auto"/>
        <w:ind w:left="567" w:hanging="567"/>
        <w:rPr>
          <w:rFonts w:ascii="Verdana" w:hAnsi="Verdana"/>
          <w:sz w:val="18"/>
          <w:szCs w:val="18"/>
        </w:rPr>
      </w:pPr>
      <w:r>
        <w:rPr>
          <w:rFonts w:ascii="Verdana" w:hAnsi="Verdana"/>
          <w:sz w:val="18"/>
          <w:szCs w:val="18"/>
        </w:rPr>
        <w:t>7.1.</w:t>
      </w:r>
      <w:r>
        <w:rPr>
          <w:rFonts w:ascii="Verdana" w:hAnsi="Verdana"/>
          <w:sz w:val="18"/>
          <w:szCs w:val="18"/>
        </w:rPr>
        <w:tab/>
        <w:t>An invoice should contain the following information:</w:t>
      </w:r>
    </w:p>
    <w:p w14:paraId="04E0BC18" w14:textId="77777777" w:rsidR="000C1FF0" w:rsidRPr="00BD0E2D" w:rsidRDefault="000C1FF0" w:rsidP="00FB60CD">
      <w:pPr>
        <w:spacing w:after="0" w:line="240" w:lineRule="auto"/>
        <w:ind w:left="567"/>
        <w:rPr>
          <w:rFonts w:ascii="Verdana" w:hAnsi="Verdana"/>
          <w:sz w:val="18"/>
          <w:szCs w:val="18"/>
        </w:rPr>
      </w:pPr>
      <w:r>
        <w:rPr>
          <w:rFonts w:ascii="Verdana" w:hAnsi="Verdana"/>
          <w:sz w:val="18"/>
          <w:szCs w:val="18"/>
        </w:rPr>
        <w:t>- date of invoice</w:t>
      </w:r>
    </w:p>
    <w:p w14:paraId="3C9CA0D0" w14:textId="77777777" w:rsidR="000C1FF0" w:rsidRPr="00BD0E2D" w:rsidRDefault="000C1FF0" w:rsidP="00FB60CD">
      <w:pPr>
        <w:spacing w:after="0" w:line="240" w:lineRule="auto"/>
        <w:ind w:left="567"/>
        <w:rPr>
          <w:rFonts w:ascii="Verdana" w:hAnsi="Verdana"/>
          <w:sz w:val="18"/>
          <w:szCs w:val="18"/>
        </w:rPr>
      </w:pPr>
      <w:r>
        <w:rPr>
          <w:rFonts w:ascii="Verdana" w:hAnsi="Verdana"/>
          <w:sz w:val="18"/>
          <w:szCs w:val="18"/>
        </w:rPr>
        <w:t>- amount of the Fee</w:t>
      </w:r>
    </w:p>
    <w:p w14:paraId="5FD218F6" w14:textId="77777777" w:rsidR="000C1FF0" w:rsidRPr="00BD0E2D" w:rsidRDefault="000C1FF0" w:rsidP="00FB60CD">
      <w:pPr>
        <w:spacing w:after="0" w:line="240" w:lineRule="auto"/>
        <w:ind w:left="567"/>
        <w:rPr>
          <w:rFonts w:ascii="Verdana" w:hAnsi="Verdana"/>
          <w:sz w:val="18"/>
          <w:szCs w:val="18"/>
        </w:rPr>
      </w:pPr>
      <w:r>
        <w:rPr>
          <w:rFonts w:ascii="Verdana" w:hAnsi="Verdana"/>
          <w:sz w:val="18"/>
          <w:szCs w:val="18"/>
        </w:rPr>
        <w:t>- VAT owed</w:t>
      </w:r>
    </w:p>
    <w:p w14:paraId="1A14878F" w14:textId="77777777" w:rsidR="000C1FF0" w:rsidRPr="00BD0E2D" w:rsidRDefault="000C1FF0" w:rsidP="00FB60CD">
      <w:pPr>
        <w:spacing w:after="0" w:line="240" w:lineRule="auto"/>
        <w:ind w:left="567"/>
        <w:rPr>
          <w:rFonts w:ascii="Verdana" w:hAnsi="Verdana"/>
          <w:sz w:val="18"/>
          <w:szCs w:val="18"/>
        </w:rPr>
      </w:pPr>
      <w:r>
        <w:rPr>
          <w:rFonts w:ascii="Verdana" w:hAnsi="Verdana"/>
          <w:sz w:val="18"/>
          <w:szCs w:val="18"/>
        </w:rPr>
        <w:t>- contract number</w:t>
      </w:r>
    </w:p>
    <w:p w14:paraId="20A14BE6" w14:textId="77777777" w:rsidR="000C1FF0" w:rsidRPr="00BD0E2D" w:rsidRDefault="000C1FF0" w:rsidP="00FB60CD">
      <w:pPr>
        <w:spacing w:after="0" w:line="240" w:lineRule="auto"/>
        <w:ind w:left="567"/>
        <w:rPr>
          <w:rFonts w:ascii="Verdana" w:hAnsi="Verdana"/>
          <w:sz w:val="18"/>
          <w:szCs w:val="18"/>
        </w:rPr>
      </w:pPr>
      <w:r>
        <w:rPr>
          <w:rFonts w:ascii="Verdana" w:hAnsi="Verdana"/>
          <w:sz w:val="18"/>
          <w:szCs w:val="18"/>
        </w:rPr>
        <w:t>- commitment number</w:t>
      </w:r>
    </w:p>
    <w:p w14:paraId="66E96CF3" w14:textId="77777777" w:rsidR="000C1FF0" w:rsidRPr="00BD0E2D" w:rsidRDefault="000C1FF0" w:rsidP="00FB60CD">
      <w:pPr>
        <w:spacing w:after="0" w:line="240" w:lineRule="auto"/>
        <w:ind w:left="567"/>
        <w:rPr>
          <w:rFonts w:ascii="Verdana" w:hAnsi="Verdana"/>
          <w:sz w:val="18"/>
          <w:szCs w:val="18"/>
        </w:rPr>
      </w:pPr>
      <w:r w:rsidRPr="00A93D3A">
        <w:rPr>
          <w:rFonts w:ascii="Verdana" w:hAnsi="Verdana"/>
          <w:i/>
          <w:iCs/>
          <w:sz w:val="18"/>
          <w:szCs w:val="18"/>
          <w:u w:val="single"/>
        </w:rPr>
        <w:t>&lt;</w:t>
      </w:r>
      <w:r w:rsidRPr="00A93D3A">
        <w:rPr>
          <w:rFonts w:ascii="Verdana" w:hAnsi="Verdana"/>
          <w:b/>
          <w:bCs/>
          <w:i/>
          <w:iCs/>
          <w:sz w:val="18"/>
          <w:szCs w:val="18"/>
          <w:u w:val="single"/>
        </w:rPr>
        <w:t>OPTIONAL</w:t>
      </w:r>
      <w:r>
        <w:rPr>
          <w:rFonts w:ascii="Verdana" w:hAnsi="Verdana"/>
          <w:i/>
          <w:iCs/>
          <w:sz w:val="18"/>
          <w:szCs w:val="18"/>
        </w:rPr>
        <w:t xml:space="preserve"> other invoice requirements&gt;</w:t>
      </w:r>
    </w:p>
    <w:p w14:paraId="2405A189" w14:textId="77777777" w:rsidR="000C1FF0" w:rsidRPr="00BD0E2D" w:rsidRDefault="000C1FF0" w:rsidP="00FB60CD">
      <w:pPr>
        <w:spacing w:after="0" w:line="240" w:lineRule="auto"/>
        <w:ind w:left="567"/>
        <w:rPr>
          <w:rFonts w:ascii="Verdana" w:hAnsi="Verdana"/>
          <w:sz w:val="18"/>
          <w:szCs w:val="18"/>
        </w:rPr>
      </w:pPr>
    </w:p>
    <w:p w14:paraId="0712D6E5" w14:textId="77777777" w:rsidR="000C1FF0" w:rsidRDefault="00FB60CD" w:rsidP="0022731B">
      <w:pPr>
        <w:pStyle w:val="Kop1"/>
        <w:ind w:left="567" w:hanging="567"/>
        <w:rPr>
          <w:rFonts w:ascii="Verdana" w:hAnsi="Verdana"/>
          <w:sz w:val="18"/>
          <w:szCs w:val="18"/>
        </w:rPr>
      </w:pPr>
      <w:bookmarkStart w:id="9" w:name="_Toc130480777"/>
      <w:r>
        <w:rPr>
          <w:rFonts w:ascii="Verdana" w:hAnsi="Verdana"/>
          <w:sz w:val="18"/>
          <w:szCs w:val="18"/>
        </w:rPr>
        <w:t>8.</w:t>
      </w:r>
      <w:r>
        <w:rPr>
          <w:rFonts w:ascii="Verdana" w:hAnsi="Verdana"/>
          <w:sz w:val="18"/>
          <w:szCs w:val="18"/>
        </w:rPr>
        <w:tab/>
        <w:t>General and special terms and conditions</w:t>
      </w:r>
      <w:bookmarkEnd w:id="9"/>
    </w:p>
    <w:p w14:paraId="78CAC5A9" w14:textId="77777777" w:rsidR="0022731B" w:rsidRPr="0022731B" w:rsidRDefault="0022731B" w:rsidP="0022731B">
      <w:pPr>
        <w:spacing w:after="0" w:line="240" w:lineRule="auto"/>
      </w:pPr>
    </w:p>
    <w:p w14:paraId="160DE69F" w14:textId="2CC221C2" w:rsidR="000C1FF0" w:rsidRDefault="000C1FF0" w:rsidP="00FB60CD">
      <w:pPr>
        <w:spacing w:after="0" w:line="240" w:lineRule="auto"/>
        <w:ind w:left="567" w:hanging="567"/>
        <w:rPr>
          <w:rFonts w:ascii="Verdana" w:hAnsi="Verdana"/>
          <w:sz w:val="18"/>
          <w:szCs w:val="18"/>
        </w:rPr>
      </w:pPr>
      <w:r>
        <w:rPr>
          <w:rFonts w:ascii="Verdana" w:hAnsi="Verdana"/>
          <w:sz w:val="18"/>
          <w:szCs w:val="18"/>
        </w:rPr>
        <w:t>8.1.</w:t>
      </w:r>
      <w:r>
        <w:rPr>
          <w:rFonts w:ascii="Verdana" w:hAnsi="Verdana"/>
          <w:sz w:val="18"/>
          <w:szCs w:val="18"/>
        </w:rPr>
        <w:tab/>
        <w:t>Any general and special terms and conditions of the Counterparty or of third parties used by the Counterparty in providing the Deliverable do not apply, unless expressly provided otherwise in the Call-off Contract.</w:t>
      </w:r>
    </w:p>
    <w:p w14:paraId="2E95E7E5" w14:textId="77777777" w:rsidR="00B912A6" w:rsidRPr="00BD0E2D" w:rsidRDefault="00B912A6" w:rsidP="00FB60CD">
      <w:pPr>
        <w:spacing w:after="0" w:line="240" w:lineRule="auto"/>
        <w:ind w:left="567" w:hanging="567"/>
        <w:rPr>
          <w:rFonts w:ascii="Verdana" w:hAnsi="Verdana"/>
          <w:sz w:val="18"/>
          <w:szCs w:val="18"/>
        </w:rPr>
      </w:pPr>
    </w:p>
    <w:p w14:paraId="2E552FEA" w14:textId="47EDFC8E" w:rsidR="000C1FF0" w:rsidRDefault="000C1FF0" w:rsidP="00FB60CD">
      <w:pPr>
        <w:spacing w:after="0" w:line="240" w:lineRule="auto"/>
        <w:ind w:left="567" w:hanging="567"/>
        <w:rPr>
          <w:rFonts w:ascii="Verdana" w:hAnsi="Verdana"/>
          <w:sz w:val="18"/>
          <w:szCs w:val="18"/>
        </w:rPr>
      </w:pPr>
      <w:r>
        <w:rPr>
          <w:rFonts w:ascii="Verdana" w:hAnsi="Verdana"/>
          <w:sz w:val="18"/>
          <w:szCs w:val="18"/>
        </w:rPr>
        <w:t>8.2.</w:t>
      </w:r>
      <w:r>
        <w:rPr>
          <w:rFonts w:ascii="Verdana" w:hAnsi="Verdana"/>
          <w:sz w:val="18"/>
          <w:szCs w:val="18"/>
        </w:rPr>
        <w:tab/>
        <w:t xml:space="preserve">The acceptance of standard or special terms required for the use of the Deliverable such as shrink-wrap and click-wrap licences is not binding on the Contracting Authority. The Counterparty guarantees to the Contracting Authority that such acceptance will not restrict the Agreed Use in any way. </w:t>
      </w:r>
    </w:p>
    <w:p w14:paraId="0FFEAE8D" w14:textId="77777777" w:rsidR="00B912A6" w:rsidRPr="00BD0E2D" w:rsidRDefault="00B912A6" w:rsidP="00FB60CD">
      <w:pPr>
        <w:spacing w:after="0" w:line="240" w:lineRule="auto"/>
        <w:ind w:left="567" w:hanging="567"/>
        <w:rPr>
          <w:rFonts w:ascii="Verdana" w:hAnsi="Verdana"/>
          <w:sz w:val="18"/>
          <w:szCs w:val="18"/>
        </w:rPr>
      </w:pPr>
    </w:p>
    <w:p w14:paraId="151BE8CC" w14:textId="0CA3226F" w:rsidR="000C1FF0" w:rsidRDefault="000C1FF0" w:rsidP="00FB60CD">
      <w:pPr>
        <w:spacing w:after="0" w:line="240" w:lineRule="auto"/>
        <w:ind w:left="567" w:hanging="567"/>
        <w:rPr>
          <w:rFonts w:ascii="Verdana" w:hAnsi="Verdana"/>
          <w:sz w:val="18"/>
          <w:szCs w:val="18"/>
        </w:rPr>
      </w:pPr>
      <w:r>
        <w:rPr>
          <w:rFonts w:ascii="Verdana" w:hAnsi="Verdana"/>
          <w:sz w:val="18"/>
          <w:szCs w:val="18"/>
        </w:rPr>
        <w:t>8.3.</w:t>
      </w:r>
      <w:r>
        <w:rPr>
          <w:rFonts w:ascii="Verdana" w:hAnsi="Verdana"/>
          <w:sz w:val="18"/>
          <w:szCs w:val="18"/>
        </w:rPr>
        <w:tab/>
        <w:t>A copy of the Terms and Conditions is appended to the Framework Agreement.</w:t>
      </w:r>
    </w:p>
    <w:p w14:paraId="6ABE83D8" w14:textId="77777777" w:rsidR="00FB60CD" w:rsidRDefault="00FB60CD" w:rsidP="00A44C38">
      <w:pPr>
        <w:spacing w:after="0" w:line="240" w:lineRule="auto"/>
        <w:rPr>
          <w:rFonts w:ascii="Verdana" w:hAnsi="Verdana"/>
          <w:sz w:val="18"/>
          <w:szCs w:val="18"/>
        </w:rPr>
      </w:pPr>
    </w:p>
    <w:p w14:paraId="29D4D5FA" w14:textId="77777777" w:rsidR="000C1FF0" w:rsidRPr="00BD0E2D" w:rsidRDefault="00FB60CD" w:rsidP="0022731B">
      <w:pPr>
        <w:pStyle w:val="Kop1"/>
        <w:ind w:left="567" w:hanging="567"/>
        <w:rPr>
          <w:rFonts w:ascii="Verdana" w:hAnsi="Verdana"/>
          <w:sz w:val="18"/>
          <w:szCs w:val="18"/>
        </w:rPr>
      </w:pPr>
      <w:bookmarkStart w:id="10" w:name="_Toc130480778"/>
      <w:r>
        <w:rPr>
          <w:rFonts w:ascii="Verdana" w:hAnsi="Verdana"/>
          <w:sz w:val="18"/>
          <w:szCs w:val="18"/>
        </w:rPr>
        <w:t>9.</w:t>
      </w:r>
      <w:r>
        <w:rPr>
          <w:rFonts w:ascii="Verdana" w:hAnsi="Verdana"/>
          <w:sz w:val="18"/>
          <w:szCs w:val="18"/>
        </w:rPr>
        <w:tab/>
        <w:t>Other provisions</w:t>
      </w:r>
      <w:bookmarkEnd w:id="10"/>
    </w:p>
    <w:p w14:paraId="6521AFDC" w14:textId="7643A725" w:rsidR="00FB60CD" w:rsidRDefault="00FB60CD" w:rsidP="00FB60CD">
      <w:pPr>
        <w:spacing w:after="0" w:line="240" w:lineRule="auto"/>
        <w:ind w:left="567" w:hanging="567"/>
        <w:rPr>
          <w:rFonts w:ascii="Verdana" w:hAnsi="Verdana"/>
          <w:sz w:val="18"/>
          <w:szCs w:val="18"/>
        </w:rPr>
      </w:pPr>
    </w:p>
    <w:p w14:paraId="4BDF0473" w14:textId="7069D41C" w:rsidR="00A44C38" w:rsidRDefault="00A44C38" w:rsidP="00A44C38">
      <w:pPr>
        <w:spacing w:after="0" w:line="240" w:lineRule="auto"/>
        <w:ind w:left="567" w:hanging="567"/>
        <w:rPr>
          <w:rFonts w:ascii="Verdana" w:hAnsi="Verdana"/>
          <w:sz w:val="18"/>
          <w:szCs w:val="18"/>
        </w:rPr>
      </w:pPr>
      <w:r>
        <w:rPr>
          <w:rFonts w:ascii="Verdana" w:hAnsi="Verdana"/>
          <w:sz w:val="18"/>
          <w:szCs w:val="18"/>
        </w:rPr>
        <w:t>9.1.</w:t>
      </w:r>
      <w:r>
        <w:rPr>
          <w:rFonts w:ascii="Verdana" w:hAnsi="Verdana"/>
          <w:sz w:val="18"/>
          <w:szCs w:val="18"/>
        </w:rPr>
        <w:tab/>
        <w:t xml:space="preserve">The duty of secrecy laid down in article 17 of the </w:t>
      </w:r>
      <w:r w:rsidR="0059708B">
        <w:rPr>
          <w:rFonts w:ascii="Verdana" w:hAnsi="Verdana"/>
          <w:sz w:val="18"/>
          <w:szCs w:val="18"/>
        </w:rPr>
        <w:t>ARBIT-2022</w:t>
      </w:r>
      <w:r>
        <w:rPr>
          <w:rFonts w:ascii="Verdana" w:hAnsi="Verdana"/>
          <w:sz w:val="18"/>
          <w:szCs w:val="18"/>
        </w:rPr>
        <w:t xml:space="preserve"> does not extend to information about (the progress of) the Public Service Contract that the Contracting Authority needs to supply for the Central Government ICT Dashboard.</w:t>
      </w:r>
    </w:p>
    <w:p w14:paraId="1C701D78" w14:textId="45BA98FA" w:rsidR="00A44C38" w:rsidRDefault="00A44C38" w:rsidP="00FB60CD">
      <w:pPr>
        <w:spacing w:after="0" w:line="240" w:lineRule="auto"/>
        <w:ind w:left="567" w:hanging="567"/>
        <w:rPr>
          <w:rFonts w:ascii="Verdana" w:hAnsi="Verdana"/>
          <w:sz w:val="18"/>
          <w:szCs w:val="18"/>
        </w:rPr>
      </w:pPr>
    </w:p>
    <w:p w14:paraId="5864752B" w14:textId="0C81C826" w:rsidR="00B9192C" w:rsidRDefault="00B9192C"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rPr>
      </w:pPr>
      <w:r>
        <w:rPr>
          <w:rFonts w:ascii="Verdana" w:hAnsi="Verdana"/>
          <w:sz w:val="18"/>
          <w:szCs w:val="18"/>
        </w:rPr>
        <w:t>9.2.</w:t>
      </w:r>
      <w:r>
        <w:rPr>
          <w:rFonts w:ascii="Verdana" w:hAnsi="Verdana"/>
          <w:sz w:val="18"/>
          <w:szCs w:val="18"/>
        </w:rPr>
        <w:tab/>
      </w:r>
      <w:r w:rsidRPr="00A93D3A">
        <w:rPr>
          <w:rFonts w:ascii="Verdana" w:hAnsi="Verdana"/>
          <w:sz w:val="18"/>
          <w:szCs w:val="18"/>
          <w:u w:val="single"/>
        </w:rPr>
        <w:t>&lt;</w:t>
      </w:r>
      <w:r w:rsidRPr="00A93D3A">
        <w:rPr>
          <w:rFonts w:ascii="Verdana" w:hAnsi="Verdana"/>
          <w:b/>
          <w:bCs/>
          <w:i/>
          <w:iCs/>
          <w:sz w:val="18"/>
          <w:szCs w:val="18"/>
          <w:u w:val="single"/>
        </w:rPr>
        <w:t>OPTIONAL</w:t>
      </w:r>
      <w:r w:rsidRPr="00A93D3A">
        <w:rPr>
          <w:rFonts w:ascii="Verdana" w:hAnsi="Verdana"/>
          <w:i/>
          <w:iCs/>
          <w:sz w:val="18"/>
          <w:szCs w:val="18"/>
          <w:u w:val="single"/>
        </w:rPr>
        <w:t>&gt;</w:t>
      </w:r>
      <w:r>
        <w:rPr>
          <w:rFonts w:ascii="Verdana" w:hAnsi="Verdana"/>
          <w:sz w:val="18"/>
          <w:szCs w:val="18"/>
        </w:rPr>
        <w:t xml:space="preserve">Articles 22.1, 22.2 and 22.4 of the </w:t>
      </w:r>
      <w:r w:rsidR="0059708B">
        <w:rPr>
          <w:rFonts w:ascii="Verdana" w:hAnsi="Verdana"/>
          <w:sz w:val="18"/>
          <w:szCs w:val="18"/>
        </w:rPr>
        <w:t>ARBIT-2022</w:t>
      </w:r>
      <w:r>
        <w:rPr>
          <w:rFonts w:ascii="Verdana" w:hAnsi="Verdana"/>
          <w:sz w:val="18"/>
          <w:szCs w:val="18"/>
        </w:rPr>
        <w:t xml:space="preserve"> do not apply. The Counterparty may replace persons charged with implementing the Framework Agreement. The Contracting Authority may not refuse the replacements. </w:t>
      </w:r>
    </w:p>
    <w:p w14:paraId="664764D0" w14:textId="77777777" w:rsidR="00B912A6" w:rsidRPr="00865421" w:rsidRDefault="00B912A6"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p>
    <w:p w14:paraId="20EFE231" w14:textId="00F5A0CA" w:rsidR="00B9192C" w:rsidRDefault="00B9192C"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rPr>
      </w:pPr>
      <w:r>
        <w:rPr>
          <w:rFonts w:ascii="Verdana" w:hAnsi="Verdana"/>
          <w:sz w:val="18"/>
          <w:szCs w:val="18"/>
        </w:rPr>
        <w:t>9.3.</w:t>
      </w:r>
      <w:r>
        <w:rPr>
          <w:rFonts w:ascii="Verdana" w:hAnsi="Verdana"/>
          <w:sz w:val="18"/>
          <w:szCs w:val="18"/>
        </w:rPr>
        <w:tab/>
      </w:r>
      <w:r w:rsidRPr="00A93D3A">
        <w:rPr>
          <w:rFonts w:ascii="Verdana" w:hAnsi="Verdana"/>
          <w:i/>
          <w:iCs/>
          <w:sz w:val="18"/>
          <w:szCs w:val="18"/>
          <w:u w:val="single"/>
        </w:rPr>
        <w:t>&lt;</w:t>
      </w:r>
      <w:r w:rsidRPr="00A93D3A">
        <w:rPr>
          <w:rFonts w:ascii="Verdana" w:hAnsi="Verdana"/>
          <w:b/>
          <w:bCs/>
          <w:i/>
          <w:iCs/>
          <w:sz w:val="18"/>
          <w:szCs w:val="18"/>
          <w:u w:val="single"/>
        </w:rPr>
        <w:t>OPTIONAL</w:t>
      </w:r>
      <w:r w:rsidRPr="00A93D3A">
        <w:rPr>
          <w:rFonts w:ascii="Verdana" w:hAnsi="Verdana"/>
          <w:i/>
          <w:iCs/>
          <w:sz w:val="18"/>
          <w:szCs w:val="18"/>
          <w:u w:val="single"/>
        </w:rPr>
        <w:t>&gt;</w:t>
      </w:r>
      <w:r>
        <w:rPr>
          <w:rFonts w:ascii="Verdana" w:hAnsi="Verdana"/>
          <w:sz w:val="18"/>
          <w:szCs w:val="18"/>
        </w:rPr>
        <w:t xml:space="preserve"> 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  </w:t>
      </w:r>
    </w:p>
    <w:p w14:paraId="54E362CA" w14:textId="77777777" w:rsidR="00A44C38" w:rsidRDefault="00A44C38"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p>
    <w:p w14:paraId="58A8ED1D" w14:textId="769ECB72" w:rsidR="00A44C38" w:rsidRPr="00A93D3A" w:rsidRDefault="00A44C38" w:rsidP="00A93D3A">
      <w:pPr>
        <w:spacing w:after="0" w:line="240" w:lineRule="auto"/>
        <w:ind w:left="567" w:hanging="567"/>
        <w:rPr>
          <w:rFonts w:ascii="Verdana" w:hAnsi="Verdana"/>
          <w:sz w:val="18"/>
          <w:szCs w:val="18"/>
        </w:rPr>
      </w:pPr>
      <w:bookmarkStart w:id="11" w:name="_Hlk107779868"/>
      <w:r>
        <w:rPr>
          <w:rFonts w:ascii="Verdana" w:hAnsi="Verdana"/>
          <w:bCs/>
          <w:iCs/>
          <w:sz w:val="18"/>
          <w:szCs w:val="18"/>
        </w:rPr>
        <w:t>9.4.</w:t>
      </w:r>
      <w:r>
        <w:rPr>
          <w:rFonts w:ascii="Verdana" w:hAnsi="Verdana"/>
          <w:b/>
          <w:bCs/>
          <w:i/>
          <w:iCs/>
          <w:sz w:val="18"/>
          <w:szCs w:val="18"/>
        </w:rPr>
        <w:t xml:space="preserve"> </w:t>
      </w:r>
      <w:r w:rsidRPr="00993037">
        <w:rPr>
          <w:rFonts w:ascii="Verdana" w:hAnsi="Verdana"/>
          <w:b/>
          <w:bCs/>
          <w:i/>
          <w:iCs/>
          <w:sz w:val="18"/>
          <w:szCs w:val="18"/>
        </w:rPr>
        <w:t xml:space="preserve"> </w:t>
      </w:r>
      <w:r w:rsidRPr="00A93D3A">
        <w:rPr>
          <w:rFonts w:ascii="Verdana" w:hAnsi="Verdana"/>
          <w:i/>
          <w:iCs/>
          <w:sz w:val="18"/>
          <w:szCs w:val="18"/>
          <w:u w:val="single"/>
        </w:rPr>
        <w:t>&lt;</w:t>
      </w:r>
      <w:r w:rsidRPr="00A93D3A">
        <w:rPr>
          <w:rFonts w:ascii="Verdana" w:hAnsi="Verdana"/>
          <w:b/>
          <w:bCs/>
          <w:i/>
          <w:iCs/>
          <w:sz w:val="18"/>
          <w:szCs w:val="18"/>
          <w:u w:val="single"/>
        </w:rPr>
        <w:t>OPTIONAL</w:t>
      </w:r>
      <w:r w:rsidRPr="00A93D3A">
        <w:rPr>
          <w:rFonts w:ascii="Verdana" w:hAnsi="Verdana"/>
          <w:b/>
          <w:bCs/>
          <w:i/>
          <w:iCs/>
          <w:sz w:val="18"/>
          <w:szCs w:val="18"/>
        </w:rPr>
        <w:t xml:space="preserve">: </w:t>
      </w:r>
      <w:bookmarkStart w:id="12" w:name="_Hlk113281717"/>
      <w:r w:rsidRPr="00A93D3A">
        <w:rPr>
          <w:rFonts w:ascii="Verdana" w:hAnsi="Verdana"/>
          <w:b/>
          <w:bCs/>
          <w:i/>
          <w:iCs/>
          <w:sz w:val="18"/>
          <w:szCs w:val="18"/>
        </w:rPr>
        <w:t>include in Framework Agreement or Call-Off Contract if applicable</w:t>
      </w:r>
      <w:r>
        <w:rPr>
          <w:rFonts w:ascii="Verdana" w:hAnsi="Verdana"/>
          <w:i/>
          <w:iCs/>
          <w:sz w:val="18"/>
          <w:szCs w:val="18"/>
        </w:rPr>
        <w:t>&gt;</w:t>
      </w:r>
      <w:bookmarkEnd w:id="12"/>
      <w:r>
        <w:t xml:space="preserve"> </w:t>
      </w:r>
      <w:r>
        <w:rPr>
          <w:rFonts w:ascii="Verdana" w:hAnsi="Verdana"/>
          <w:sz w:val="18"/>
          <w:szCs w:val="18"/>
        </w:rPr>
        <w:t>The Counterparty will [erase or return] the data within [number] [days/weeks] after the end of the Framework Agreement, or earlier as agreed, failing which the Counterparty will owe a penalty of €[amount] per day, up to a maximum of €[amount]. Payment of the penalty does not affect the Counterparty’s obligation under this paragraph or its liability for compensating any loss caused by the breach.</w:t>
      </w:r>
    </w:p>
    <w:p w14:paraId="639D4A06" w14:textId="38F820D0" w:rsidR="00A44C38" w:rsidRPr="00B83997" w:rsidRDefault="00A44C38" w:rsidP="00CD00D1">
      <w:pPr>
        <w:spacing w:after="0" w:line="240" w:lineRule="auto"/>
        <w:ind w:left="567" w:hanging="567"/>
        <w:rPr>
          <w:rFonts w:ascii="Verdana" w:eastAsia="Times New Roman" w:hAnsi="Verdana"/>
          <w:sz w:val="18"/>
          <w:szCs w:val="18"/>
        </w:rPr>
      </w:pPr>
      <w:r>
        <w:rPr>
          <w:rFonts w:ascii="Verdana" w:hAnsi="Verdana"/>
          <w:sz w:val="18"/>
          <w:szCs w:val="18"/>
        </w:rPr>
        <w:lastRenderedPageBreak/>
        <w:t>9.5.   </w:t>
      </w:r>
      <w:r w:rsidRPr="00A93D3A">
        <w:rPr>
          <w:rFonts w:ascii="Verdana" w:hAnsi="Verdana"/>
          <w:i/>
          <w:iCs/>
          <w:sz w:val="18"/>
          <w:szCs w:val="18"/>
          <w:u w:val="single"/>
        </w:rPr>
        <w:t>&lt;</w:t>
      </w:r>
      <w:r w:rsidRPr="00A93D3A">
        <w:rPr>
          <w:rFonts w:ascii="Verdana" w:hAnsi="Verdana"/>
          <w:b/>
          <w:bCs/>
          <w:i/>
          <w:iCs/>
          <w:sz w:val="18"/>
          <w:szCs w:val="18"/>
          <w:u w:val="single"/>
        </w:rPr>
        <w:t>OPTIONAL</w:t>
      </w:r>
      <w:r>
        <w:rPr>
          <w:rFonts w:ascii="Verdana" w:hAnsi="Verdana"/>
          <w:b/>
          <w:bCs/>
          <w:i/>
          <w:iCs/>
          <w:sz w:val="18"/>
          <w:szCs w:val="18"/>
        </w:rPr>
        <w:t>:</w:t>
      </w:r>
      <w:r>
        <w:rPr>
          <w:rFonts w:ascii="Verdana" w:hAnsi="Verdana"/>
          <w:i/>
          <w:iCs/>
          <w:sz w:val="18"/>
          <w:szCs w:val="18"/>
        </w:rPr>
        <w:t xml:space="preserve"> </w:t>
      </w:r>
      <w:r w:rsidRPr="00A93D3A">
        <w:rPr>
          <w:rFonts w:ascii="Verdana" w:hAnsi="Verdana"/>
          <w:b/>
          <w:bCs/>
          <w:i/>
          <w:iCs/>
          <w:sz w:val="18"/>
          <w:szCs w:val="18"/>
        </w:rPr>
        <w:t>include in Framework Agreement or Call-Off Contract if applicable</w:t>
      </w:r>
      <w:r>
        <w:rPr>
          <w:rFonts w:ascii="Verdana" w:hAnsi="Verdana"/>
          <w:sz w:val="18"/>
          <w:szCs w:val="18"/>
        </w:rPr>
        <w:t>&gt; The data will be returned in the format and manner stipulated by the Contracting Authority.</w:t>
      </w:r>
    </w:p>
    <w:p w14:paraId="242DB5E0" w14:textId="77777777" w:rsidR="00A44C38" w:rsidRPr="00B83997" w:rsidRDefault="00A44C38" w:rsidP="00CD00D1">
      <w:pPr>
        <w:spacing w:after="0" w:line="240" w:lineRule="auto"/>
        <w:rPr>
          <w:rFonts w:ascii="Verdana" w:eastAsia="Times New Roman" w:hAnsi="Verdana"/>
          <w:sz w:val="18"/>
          <w:szCs w:val="18"/>
        </w:rPr>
      </w:pPr>
    </w:p>
    <w:p w14:paraId="08A72938" w14:textId="77777777" w:rsidR="00A44C38" w:rsidRPr="00B83997" w:rsidRDefault="00A44C38" w:rsidP="00CD00D1">
      <w:pPr>
        <w:spacing w:after="0" w:line="240" w:lineRule="auto"/>
        <w:ind w:firstLine="567"/>
        <w:rPr>
          <w:rFonts w:ascii="Verdana" w:eastAsia="Times New Roman" w:hAnsi="Verdana"/>
          <w:sz w:val="18"/>
          <w:szCs w:val="18"/>
        </w:rPr>
      </w:pPr>
      <w:r>
        <w:rPr>
          <w:rFonts w:ascii="Verdana" w:hAnsi="Verdana"/>
          <w:b/>
          <w:bCs/>
          <w:sz w:val="18"/>
          <w:szCs w:val="18"/>
        </w:rPr>
        <w:t>OR</w:t>
      </w:r>
    </w:p>
    <w:p w14:paraId="0FE510D4" w14:textId="77777777" w:rsidR="00A44C38" w:rsidRPr="00B83997" w:rsidRDefault="00A44C38" w:rsidP="00CD00D1">
      <w:pPr>
        <w:spacing w:after="0" w:line="240" w:lineRule="auto"/>
        <w:rPr>
          <w:rFonts w:ascii="Verdana" w:eastAsia="Times New Roman" w:hAnsi="Verdana"/>
          <w:sz w:val="18"/>
          <w:szCs w:val="18"/>
        </w:rPr>
      </w:pPr>
    </w:p>
    <w:p w14:paraId="1D648891" w14:textId="4E43467C" w:rsidR="00A44C38" w:rsidRDefault="00A44C38" w:rsidP="00CD00D1">
      <w:pPr>
        <w:spacing w:after="0" w:line="240" w:lineRule="auto"/>
        <w:ind w:left="567" w:hanging="567"/>
        <w:rPr>
          <w:rFonts w:ascii="Verdana" w:hAnsi="Verdana"/>
          <w:sz w:val="18"/>
          <w:szCs w:val="18"/>
        </w:rPr>
      </w:pPr>
      <w:r>
        <w:rPr>
          <w:rFonts w:ascii="Verdana" w:hAnsi="Verdana"/>
          <w:sz w:val="18"/>
          <w:szCs w:val="18"/>
        </w:rPr>
        <w:t>9.5.   </w:t>
      </w:r>
      <w:r w:rsidRPr="00A93D3A">
        <w:rPr>
          <w:rFonts w:ascii="Verdana" w:hAnsi="Verdana"/>
          <w:i/>
          <w:iCs/>
          <w:sz w:val="18"/>
          <w:szCs w:val="18"/>
          <w:u w:val="single"/>
        </w:rPr>
        <w:t>&lt;</w:t>
      </w:r>
      <w:r w:rsidRPr="00A93D3A">
        <w:rPr>
          <w:rFonts w:ascii="Verdana" w:hAnsi="Verdana"/>
          <w:b/>
          <w:bCs/>
          <w:i/>
          <w:iCs/>
          <w:sz w:val="18"/>
          <w:szCs w:val="18"/>
          <w:u w:val="single"/>
        </w:rPr>
        <w:t>OPTIONAL</w:t>
      </w:r>
      <w:r>
        <w:rPr>
          <w:rFonts w:ascii="Verdana" w:hAnsi="Verdana"/>
          <w:b/>
          <w:bCs/>
          <w:i/>
          <w:iCs/>
          <w:sz w:val="18"/>
          <w:szCs w:val="18"/>
        </w:rPr>
        <w:t>:</w:t>
      </w:r>
      <w:r>
        <w:rPr>
          <w:rFonts w:ascii="Verdana" w:hAnsi="Verdana"/>
          <w:i/>
          <w:iCs/>
          <w:sz w:val="18"/>
          <w:szCs w:val="18"/>
        </w:rPr>
        <w:t xml:space="preserve"> </w:t>
      </w:r>
      <w:r w:rsidRPr="00A93D3A">
        <w:rPr>
          <w:rFonts w:ascii="Verdana" w:hAnsi="Verdana"/>
          <w:b/>
          <w:bCs/>
          <w:i/>
          <w:iCs/>
          <w:sz w:val="18"/>
          <w:szCs w:val="18"/>
        </w:rPr>
        <w:t>include in Framework Agreement or Call-Off Contract if applicable</w:t>
      </w:r>
      <w:r>
        <w:rPr>
          <w:rFonts w:ascii="Verdana" w:hAnsi="Verdana"/>
          <w:sz w:val="18"/>
          <w:szCs w:val="18"/>
        </w:rPr>
        <w:t>&gt; The data will be returned as follows: [file format], [means of return, including security measures] to [address].</w:t>
      </w:r>
    </w:p>
    <w:p w14:paraId="05F3D77F" w14:textId="77777777" w:rsidR="00A93D3A" w:rsidRDefault="00A93D3A" w:rsidP="00CD00D1">
      <w:pPr>
        <w:spacing w:after="0" w:line="240" w:lineRule="auto"/>
        <w:ind w:left="567" w:hanging="567"/>
        <w:rPr>
          <w:rFonts w:ascii="Verdana" w:eastAsia="Times New Roman" w:hAnsi="Verdana"/>
          <w:sz w:val="18"/>
          <w:szCs w:val="18"/>
        </w:rPr>
      </w:pPr>
    </w:p>
    <w:p w14:paraId="34D7E1D7" w14:textId="28A23FCF" w:rsidR="00A44C38" w:rsidRPr="00993037" w:rsidRDefault="00A44C38" w:rsidP="00CD00D1">
      <w:pPr>
        <w:spacing w:after="0" w:line="240" w:lineRule="auto"/>
        <w:ind w:left="567" w:hanging="567"/>
        <w:rPr>
          <w:rFonts w:ascii="Verdana" w:eastAsia="Times New Roman" w:hAnsi="Verdana"/>
          <w:i/>
          <w:iCs/>
          <w:sz w:val="18"/>
          <w:szCs w:val="18"/>
        </w:rPr>
      </w:pPr>
      <w:r>
        <w:rPr>
          <w:rFonts w:ascii="Verdana" w:hAnsi="Verdana"/>
          <w:sz w:val="18"/>
          <w:szCs w:val="18"/>
        </w:rPr>
        <w:t>9.6.</w:t>
      </w:r>
      <w:r w:rsidRPr="00993037">
        <w:rPr>
          <w:rFonts w:ascii="Verdana" w:hAnsi="Verdana"/>
          <w:sz w:val="18"/>
          <w:szCs w:val="18"/>
        </w:rPr>
        <w:tab/>
      </w:r>
      <w:r w:rsidRPr="00A93D3A">
        <w:rPr>
          <w:rFonts w:ascii="Verdana" w:hAnsi="Verdana"/>
          <w:i/>
          <w:iCs/>
          <w:sz w:val="18"/>
          <w:szCs w:val="18"/>
          <w:u w:val="single"/>
        </w:rPr>
        <w:t>&lt;</w:t>
      </w:r>
      <w:r w:rsidRPr="00A93D3A">
        <w:rPr>
          <w:rFonts w:ascii="Verdana" w:hAnsi="Verdana"/>
          <w:b/>
          <w:bCs/>
          <w:i/>
          <w:iCs/>
          <w:sz w:val="18"/>
          <w:szCs w:val="18"/>
          <w:u w:val="single"/>
        </w:rPr>
        <w:t>OPTIONAL</w:t>
      </w:r>
      <w:r w:rsidRPr="00993037">
        <w:rPr>
          <w:rFonts w:ascii="Verdana" w:hAnsi="Verdana"/>
          <w:b/>
          <w:bCs/>
          <w:i/>
          <w:iCs/>
          <w:sz w:val="18"/>
          <w:szCs w:val="18"/>
        </w:rPr>
        <w:t xml:space="preserve">: </w:t>
      </w:r>
      <w:bookmarkStart w:id="13" w:name="_Hlk113281752"/>
      <w:bookmarkEnd w:id="13"/>
      <w:r w:rsidRPr="00A93D3A">
        <w:rPr>
          <w:rFonts w:ascii="Verdana" w:hAnsi="Verdana"/>
          <w:b/>
          <w:bCs/>
          <w:i/>
          <w:iCs/>
          <w:sz w:val="18"/>
          <w:szCs w:val="18"/>
        </w:rPr>
        <w:t>include in Framework Agreement or Call-Off Contract if applicable</w:t>
      </w:r>
      <w:r w:rsidRPr="00993037">
        <w:rPr>
          <w:rFonts w:ascii="Verdana" w:hAnsi="Verdana"/>
          <w:i/>
          <w:iCs/>
          <w:sz w:val="18"/>
          <w:szCs w:val="18"/>
        </w:rPr>
        <w:t>&gt;</w:t>
      </w:r>
      <w:r w:rsidRPr="00993037">
        <w:rPr>
          <w:rFonts w:ascii="Verdana" w:hAnsi="Verdana"/>
          <w:b/>
          <w:bCs/>
          <w:i/>
          <w:iCs/>
          <w:sz w:val="18"/>
          <w:szCs w:val="18"/>
        </w:rPr>
        <w:t xml:space="preserve"> </w:t>
      </w:r>
      <w:r w:rsidRPr="00993037">
        <w:rPr>
          <w:rFonts w:ascii="Verdana" w:hAnsi="Verdana"/>
          <w:sz w:val="18"/>
          <w:szCs w:val="18"/>
        </w:rPr>
        <w:t>Upon (early) termination of the Framework Agreement, the provisions of the Exit Arrangements Schedule apply in addition to article 32 of the ARBIT</w:t>
      </w:r>
      <w:r w:rsidR="0059708B">
        <w:rPr>
          <w:rFonts w:ascii="Verdana" w:hAnsi="Verdana"/>
          <w:sz w:val="18"/>
          <w:szCs w:val="18"/>
        </w:rPr>
        <w:t>-</w:t>
      </w:r>
      <w:r w:rsidRPr="00993037">
        <w:rPr>
          <w:rFonts w:ascii="Verdana" w:hAnsi="Verdana"/>
          <w:sz w:val="18"/>
          <w:szCs w:val="18"/>
        </w:rPr>
        <w:t>2022.</w:t>
      </w:r>
    </w:p>
    <w:p w14:paraId="58FFD3AA" w14:textId="77777777" w:rsidR="00A44C38" w:rsidRPr="00993037" w:rsidRDefault="00A44C38" w:rsidP="00CD00D1">
      <w:pPr>
        <w:spacing w:after="0" w:line="240" w:lineRule="auto"/>
        <w:ind w:left="567" w:hanging="567"/>
        <w:rPr>
          <w:rFonts w:ascii="Verdana" w:eastAsia="Times New Roman" w:hAnsi="Verdana"/>
          <w:i/>
          <w:iCs/>
          <w:sz w:val="18"/>
          <w:szCs w:val="18"/>
        </w:rPr>
      </w:pPr>
    </w:p>
    <w:p w14:paraId="69680370" w14:textId="190DC391" w:rsidR="00A44C38" w:rsidRPr="00F255CD" w:rsidRDefault="00A44C38" w:rsidP="00CD00D1">
      <w:pPr>
        <w:spacing w:after="0" w:line="240" w:lineRule="auto"/>
        <w:ind w:left="567" w:hanging="567"/>
        <w:rPr>
          <w:rFonts w:ascii="Verdana" w:eastAsia="Times New Roman" w:hAnsi="Verdana"/>
          <w:sz w:val="18"/>
          <w:szCs w:val="18"/>
        </w:rPr>
      </w:pPr>
      <w:r w:rsidRPr="00993037">
        <w:rPr>
          <w:rFonts w:ascii="Verdana" w:hAnsi="Verdana"/>
          <w:sz w:val="18"/>
          <w:szCs w:val="18"/>
        </w:rPr>
        <w:t>9.7.</w:t>
      </w:r>
      <w:r w:rsidRPr="00993037">
        <w:rPr>
          <w:rFonts w:ascii="Verdana" w:hAnsi="Verdana"/>
          <w:sz w:val="18"/>
          <w:szCs w:val="18"/>
        </w:rPr>
        <w:tab/>
      </w:r>
      <w:r w:rsidRPr="00A93D3A">
        <w:rPr>
          <w:rFonts w:ascii="Verdana" w:hAnsi="Verdana"/>
          <w:i/>
          <w:iCs/>
          <w:sz w:val="18"/>
          <w:szCs w:val="18"/>
          <w:u w:val="single"/>
        </w:rPr>
        <w:t>&lt;</w:t>
      </w:r>
      <w:r w:rsidRPr="00A93D3A">
        <w:rPr>
          <w:rFonts w:ascii="Verdana" w:hAnsi="Verdana"/>
          <w:b/>
          <w:bCs/>
          <w:i/>
          <w:iCs/>
          <w:sz w:val="18"/>
          <w:szCs w:val="18"/>
          <w:u w:val="single"/>
        </w:rPr>
        <w:t>OPTIONAL</w:t>
      </w:r>
      <w:r w:rsidRPr="00993037">
        <w:rPr>
          <w:rFonts w:ascii="Verdana" w:hAnsi="Verdana"/>
          <w:b/>
          <w:bCs/>
          <w:i/>
          <w:iCs/>
          <w:sz w:val="18"/>
          <w:szCs w:val="18"/>
        </w:rPr>
        <w:t xml:space="preserve">: </w:t>
      </w:r>
      <w:r w:rsidRPr="00A93D3A">
        <w:rPr>
          <w:rFonts w:ascii="Verdana" w:hAnsi="Verdana"/>
          <w:b/>
          <w:bCs/>
          <w:i/>
          <w:iCs/>
          <w:sz w:val="18"/>
          <w:szCs w:val="18"/>
        </w:rPr>
        <w:t xml:space="preserve">include in Framework Agreement or Call-Off Contract if applicable, </w:t>
      </w:r>
      <w:r w:rsidRPr="00A93D3A">
        <w:rPr>
          <w:rFonts w:ascii="Verdana" w:hAnsi="Verdana"/>
          <w:i/>
          <w:iCs/>
          <w:sz w:val="18"/>
          <w:szCs w:val="18"/>
        </w:rPr>
        <w:t>in connection with the supply of an AI system that poses a high risk to individuals' health and safety or fundamental rights</w:t>
      </w:r>
      <w:r>
        <w:rPr>
          <w:rFonts w:ascii="Verdana" w:hAnsi="Verdana"/>
          <w:i/>
          <w:iCs/>
          <w:sz w:val="18"/>
          <w:szCs w:val="18"/>
        </w:rPr>
        <w:t>&gt;</w:t>
      </w:r>
      <w:r>
        <w:rPr>
          <w:rFonts w:ascii="Verdana" w:hAnsi="Verdana"/>
          <w:b/>
          <w:bCs/>
          <w:i/>
          <w:iCs/>
          <w:sz w:val="18"/>
          <w:szCs w:val="18"/>
        </w:rPr>
        <w:t xml:space="preserve"> </w:t>
      </w:r>
      <w:r>
        <w:rPr>
          <w:rFonts w:ascii="Verdana" w:hAnsi="Verdana"/>
          <w:sz w:val="18"/>
          <w:szCs w:val="18"/>
        </w:rPr>
        <w:t>If the Deliverable consists in part of an AI system that poses a high risk to individuals’ health and safety or fundamental rights, the provisions of the AI Schedule [to be agreed] apply in regard to it.</w:t>
      </w:r>
    </w:p>
    <w:p w14:paraId="5658C1FE" w14:textId="77777777" w:rsidR="00A44C38" w:rsidRDefault="00A44C38" w:rsidP="00CD00D1">
      <w:pPr>
        <w:spacing w:after="0" w:line="240" w:lineRule="auto"/>
        <w:ind w:left="567" w:hanging="567"/>
      </w:pPr>
    </w:p>
    <w:p w14:paraId="2617131A" w14:textId="55BC6406" w:rsidR="00A44C38" w:rsidRPr="006975B9" w:rsidRDefault="00A44C38" w:rsidP="00CD00D1">
      <w:pPr>
        <w:spacing w:after="0" w:line="240" w:lineRule="auto"/>
        <w:ind w:left="567" w:hanging="567"/>
        <w:rPr>
          <w:rFonts w:ascii="Verdana" w:hAnsi="Verdana"/>
          <w:sz w:val="18"/>
          <w:szCs w:val="18"/>
        </w:rPr>
      </w:pPr>
      <w:r>
        <w:rPr>
          <w:rFonts w:ascii="Verdana" w:hAnsi="Verdana"/>
          <w:sz w:val="18"/>
          <w:szCs w:val="18"/>
        </w:rPr>
        <w:t>9.8.</w:t>
      </w:r>
      <w:r>
        <w:rPr>
          <w:rFonts w:ascii="Verdana" w:hAnsi="Verdana"/>
          <w:sz w:val="18"/>
          <w:szCs w:val="18"/>
        </w:rPr>
        <w:tab/>
      </w:r>
      <w:r>
        <w:rPr>
          <w:rFonts w:ascii="Verdana" w:hAnsi="Verdana"/>
          <w:i/>
          <w:iCs/>
          <w:sz w:val="18"/>
          <w:szCs w:val="18"/>
        </w:rPr>
        <w:t>&lt;</w:t>
      </w:r>
      <w:r>
        <w:rPr>
          <w:rFonts w:ascii="Verdana" w:hAnsi="Verdana"/>
          <w:b/>
          <w:bCs/>
          <w:i/>
          <w:iCs/>
          <w:sz w:val="18"/>
          <w:szCs w:val="18"/>
          <w:u w:val="single"/>
        </w:rPr>
        <w:t>OPTIONAL</w:t>
      </w:r>
      <w:r>
        <w:rPr>
          <w:rFonts w:ascii="Verdana" w:hAnsi="Verdana"/>
          <w:i/>
          <w:iCs/>
          <w:sz w:val="18"/>
          <w:szCs w:val="18"/>
        </w:rPr>
        <w:t>&gt;</w:t>
      </w:r>
      <w:r>
        <w:rPr>
          <w:rFonts w:ascii="Verdana" w:hAnsi="Verdana"/>
          <w:b/>
          <w:bCs/>
          <w:i/>
          <w:iCs/>
          <w:sz w:val="18"/>
          <w:szCs w:val="18"/>
        </w:rPr>
        <w:t xml:space="preserve"> </w:t>
      </w:r>
      <w:r>
        <w:rPr>
          <w:rFonts w:ascii="Verdana" w:hAnsi="Verdana"/>
          <w:bCs/>
          <w:iCs/>
          <w:sz w:val="18"/>
          <w:szCs w:val="18"/>
        </w:rPr>
        <w:t xml:space="preserve">In articles 3, 12.3 and 31 of the </w:t>
      </w:r>
      <w:r w:rsidR="0059708B">
        <w:rPr>
          <w:rFonts w:ascii="Verdana" w:hAnsi="Verdana"/>
          <w:bCs/>
          <w:iCs/>
          <w:sz w:val="18"/>
          <w:szCs w:val="18"/>
        </w:rPr>
        <w:t>ARBIT-2022</w:t>
      </w:r>
      <w:r>
        <w:rPr>
          <w:rFonts w:ascii="Verdana" w:hAnsi="Verdana"/>
          <w:bCs/>
          <w:iCs/>
          <w:sz w:val="18"/>
          <w:szCs w:val="18"/>
        </w:rPr>
        <w:t xml:space="preserve">, ‘in writing’ includes electronic communication[.] </w:t>
      </w:r>
      <w:r>
        <w:rPr>
          <w:rFonts w:ascii="Verdana" w:hAnsi="Verdana"/>
          <w:i/>
          <w:iCs/>
          <w:sz w:val="18"/>
          <w:szCs w:val="18"/>
        </w:rPr>
        <w:t>&lt;</w:t>
      </w:r>
      <w:r>
        <w:rPr>
          <w:rFonts w:ascii="Verdana" w:hAnsi="Verdana"/>
          <w:b/>
          <w:bCs/>
          <w:i/>
          <w:iCs/>
          <w:sz w:val="18"/>
          <w:szCs w:val="18"/>
          <w:u w:val="single"/>
        </w:rPr>
        <w:t>OPTIONAL</w:t>
      </w:r>
      <w:r>
        <w:rPr>
          <w:rFonts w:ascii="Verdana" w:hAnsi="Verdana"/>
          <w:i/>
          <w:iCs/>
          <w:sz w:val="18"/>
          <w:szCs w:val="18"/>
        </w:rPr>
        <w:t>&gt;</w:t>
      </w:r>
      <w:r>
        <w:rPr>
          <w:rFonts w:ascii="Verdana" w:hAnsi="Verdana"/>
          <w:b/>
          <w:bCs/>
          <w:i/>
          <w:iCs/>
          <w:sz w:val="18"/>
          <w:szCs w:val="18"/>
        </w:rPr>
        <w:t xml:space="preserve"> </w:t>
      </w:r>
      <w:r>
        <w:rPr>
          <w:rFonts w:ascii="Verdana" w:hAnsi="Verdana"/>
          <w:bCs/>
          <w:iCs/>
          <w:sz w:val="18"/>
          <w:szCs w:val="18"/>
        </w:rPr>
        <w:t>providing the communication satisfies the following requirements:[……].</w:t>
      </w:r>
    </w:p>
    <w:bookmarkEnd w:id="11"/>
    <w:p w14:paraId="5E44A083" w14:textId="77777777" w:rsidR="00A44C38" w:rsidRDefault="00A44C38" w:rsidP="00CD00D1">
      <w:pPr>
        <w:spacing w:after="0" w:line="240" w:lineRule="auto"/>
        <w:ind w:left="567" w:hanging="567"/>
        <w:rPr>
          <w:rFonts w:ascii="Verdana" w:hAnsi="Verdana"/>
          <w:sz w:val="18"/>
          <w:szCs w:val="18"/>
        </w:rPr>
      </w:pPr>
    </w:p>
    <w:p w14:paraId="09CEBA27" w14:textId="6842B195" w:rsidR="00A44C38" w:rsidRDefault="00A44C38" w:rsidP="00CD00D1">
      <w:pPr>
        <w:spacing w:after="0" w:line="240" w:lineRule="auto"/>
        <w:ind w:left="567" w:hanging="567"/>
        <w:rPr>
          <w:rFonts w:ascii="Verdana" w:hAnsi="Verdana"/>
          <w:sz w:val="18"/>
          <w:szCs w:val="18"/>
        </w:rPr>
      </w:pPr>
      <w:r>
        <w:rPr>
          <w:rFonts w:ascii="Verdana" w:hAnsi="Verdana"/>
          <w:sz w:val="18"/>
          <w:szCs w:val="18"/>
        </w:rPr>
        <w:t>9.9.</w:t>
      </w:r>
      <w:r>
        <w:rPr>
          <w:rFonts w:ascii="Verdana" w:hAnsi="Verdana"/>
          <w:sz w:val="18"/>
          <w:szCs w:val="18"/>
        </w:rPr>
        <w:tab/>
        <w:t>&lt;</w:t>
      </w:r>
      <w:r>
        <w:rPr>
          <w:rFonts w:ascii="Verdana" w:hAnsi="Verdana"/>
          <w:b/>
          <w:i/>
          <w:sz w:val="18"/>
          <w:szCs w:val="18"/>
          <w:u w:val="single"/>
        </w:rPr>
        <w:t>OPTIONAL</w:t>
      </w:r>
      <w:r>
        <w:rPr>
          <w:rFonts w:ascii="Verdana" w:hAnsi="Verdana"/>
          <w:sz w:val="18"/>
          <w:szCs w:val="18"/>
        </w:rPr>
        <w:t>&gt; [……]</w:t>
      </w:r>
    </w:p>
    <w:p w14:paraId="26935E39" w14:textId="77777777" w:rsidR="00B912A6" w:rsidRPr="00865421" w:rsidRDefault="00B912A6" w:rsidP="00CD00D1">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p>
    <w:p w14:paraId="01DD27D2" w14:textId="77777777" w:rsidR="000C1FF0" w:rsidRDefault="000C1FF0" w:rsidP="00BD0E2D">
      <w:pPr>
        <w:spacing w:after="0" w:line="240" w:lineRule="auto"/>
        <w:rPr>
          <w:rFonts w:ascii="Verdana" w:hAnsi="Verdana"/>
          <w:sz w:val="18"/>
          <w:szCs w:val="18"/>
        </w:rPr>
      </w:pPr>
    </w:p>
    <w:p w14:paraId="1C4D44B6" w14:textId="2C7A97AA" w:rsidR="00B94F4A" w:rsidRDefault="00B94F4A" w:rsidP="00BD0E2D">
      <w:pPr>
        <w:spacing w:after="0" w:line="240" w:lineRule="auto"/>
        <w:rPr>
          <w:rFonts w:ascii="Verdana" w:hAnsi="Verdana"/>
          <w:sz w:val="18"/>
          <w:szCs w:val="18"/>
        </w:rPr>
      </w:pPr>
    </w:p>
    <w:p w14:paraId="7619186A" w14:textId="77777777" w:rsidR="003D63AB" w:rsidRDefault="003D63AB" w:rsidP="00BD0E2D">
      <w:pPr>
        <w:spacing w:after="0" w:line="240" w:lineRule="auto"/>
        <w:rPr>
          <w:rFonts w:ascii="Verdana" w:hAnsi="Verdana"/>
          <w:sz w:val="18"/>
          <w:szCs w:val="18"/>
        </w:rPr>
      </w:pPr>
    </w:p>
    <w:p w14:paraId="5B51AE0B" w14:textId="77777777" w:rsidR="00B94F4A" w:rsidRPr="00BD0E2D" w:rsidRDefault="00B94F4A" w:rsidP="00BD0E2D">
      <w:pPr>
        <w:spacing w:after="0" w:line="240" w:lineRule="auto"/>
        <w:rPr>
          <w:rFonts w:ascii="Verdana" w:hAnsi="Verdana"/>
          <w:sz w:val="18"/>
          <w:szCs w:val="18"/>
        </w:rPr>
      </w:pPr>
    </w:p>
    <w:p w14:paraId="678EC81E"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Done on &lt;date&gt; and signed in duplicate by:</w:t>
      </w:r>
    </w:p>
    <w:p w14:paraId="6BA004DB" w14:textId="361C675B" w:rsidR="000C1FF0" w:rsidRDefault="000C1FF0" w:rsidP="00BD0E2D">
      <w:pPr>
        <w:spacing w:after="0" w:line="240" w:lineRule="auto"/>
        <w:rPr>
          <w:rFonts w:ascii="Verdana" w:hAnsi="Verdana"/>
          <w:sz w:val="18"/>
          <w:szCs w:val="18"/>
        </w:rPr>
      </w:pPr>
    </w:p>
    <w:p w14:paraId="7AB5D35D" w14:textId="77777777" w:rsidR="003D63AB" w:rsidRDefault="003D63AB" w:rsidP="00BD0E2D">
      <w:pPr>
        <w:spacing w:after="0" w:line="240" w:lineRule="auto"/>
        <w:rPr>
          <w:rFonts w:ascii="Verdana" w:hAnsi="Verdana"/>
          <w:sz w:val="18"/>
          <w:szCs w:val="18"/>
        </w:rPr>
      </w:pPr>
    </w:p>
    <w:p w14:paraId="74E73D37" w14:textId="77777777" w:rsidR="00AC23A5" w:rsidRPr="00BD0E2D" w:rsidRDefault="00AC23A5" w:rsidP="00BD0E2D">
      <w:pPr>
        <w:spacing w:after="0" w:line="240" w:lineRule="auto"/>
        <w:rPr>
          <w:rFonts w:ascii="Verdana" w:hAnsi="Verdana"/>
          <w:sz w:val="18"/>
          <w:szCs w:val="18"/>
        </w:rPr>
      </w:pPr>
    </w:p>
    <w:p w14:paraId="66246A54"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FOR THE CONTRACTING AUTHORITY         FOR THE COUNTERPARTY</w:t>
      </w:r>
    </w:p>
    <w:p w14:paraId="15FEDFE3" w14:textId="3696E62D" w:rsidR="003D63AB" w:rsidRDefault="003D63AB" w:rsidP="00BD0E2D">
      <w:pPr>
        <w:spacing w:after="0" w:line="240" w:lineRule="auto"/>
        <w:rPr>
          <w:rFonts w:ascii="Verdana" w:hAnsi="Verdana"/>
          <w:sz w:val="18"/>
          <w:szCs w:val="18"/>
        </w:rPr>
      </w:pPr>
    </w:p>
    <w:p w14:paraId="5609194C" w14:textId="77777777" w:rsidR="003D63AB" w:rsidRDefault="003D63AB" w:rsidP="00BD0E2D">
      <w:pPr>
        <w:spacing w:after="0" w:line="240" w:lineRule="auto"/>
        <w:rPr>
          <w:rFonts w:ascii="Verdana" w:hAnsi="Verdana"/>
          <w:sz w:val="18"/>
          <w:szCs w:val="18"/>
        </w:rPr>
      </w:pPr>
    </w:p>
    <w:p w14:paraId="1E100264" w14:textId="51D29083" w:rsidR="000C1FF0" w:rsidRPr="00BD0E2D" w:rsidRDefault="000C1FF0" w:rsidP="00BD0E2D">
      <w:pPr>
        <w:spacing w:after="0" w:line="240" w:lineRule="auto"/>
        <w:rPr>
          <w:rFonts w:ascii="Verdana" w:hAnsi="Verdana"/>
          <w:sz w:val="18"/>
          <w:szCs w:val="18"/>
        </w:rPr>
      </w:pPr>
      <w:r>
        <w:rPr>
          <w:rFonts w:ascii="Verdana" w:hAnsi="Verdana"/>
          <w:sz w:val="18"/>
          <w:szCs w:val="18"/>
        </w:rPr>
        <w:t>Name: &lt;name&gt;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Name: &lt;name&gt;</w:t>
      </w:r>
    </w:p>
    <w:p w14:paraId="7E0889EC" w14:textId="6DDFC953" w:rsidR="00FB60CD" w:rsidRDefault="00FB60CD" w:rsidP="00BD0E2D">
      <w:pPr>
        <w:spacing w:after="0" w:line="240" w:lineRule="auto"/>
        <w:rPr>
          <w:rFonts w:ascii="Verdana" w:hAnsi="Verdana"/>
          <w:sz w:val="18"/>
          <w:szCs w:val="18"/>
        </w:rPr>
      </w:pPr>
    </w:p>
    <w:p w14:paraId="3D3B6864" w14:textId="77777777" w:rsidR="003D63AB" w:rsidRDefault="003D63AB" w:rsidP="00BD0E2D">
      <w:pPr>
        <w:spacing w:after="0" w:line="240" w:lineRule="auto"/>
        <w:rPr>
          <w:rFonts w:ascii="Verdana" w:hAnsi="Verdana"/>
          <w:sz w:val="18"/>
          <w:szCs w:val="18"/>
        </w:rPr>
      </w:pPr>
    </w:p>
    <w:p w14:paraId="3D7817F8"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Signature: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Signature:</w:t>
      </w:r>
    </w:p>
    <w:p w14:paraId="433C51D2" w14:textId="77777777" w:rsidR="000C1FF0" w:rsidRPr="00BD0E2D" w:rsidRDefault="000C1FF0" w:rsidP="00BD0E2D">
      <w:pPr>
        <w:spacing w:after="0" w:line="240" w:lineRule="auto"/>
        <w:rPr>
          <w:rFonts w:ascii="Verdana" w:hAnsi="Verdana"/>
          <w:sz w:val="18"/>
          <w:szCs w:val="18"/>
        </w:rPr>
      </w:pPr>
    </w:p>
    <w:p w14:paraId="7C1BBF20" w14:textId="77777777" w:rsidR="000C1FF0" w:rsidRPr="00BD0E2D" w:rsidRDefault="000C1FF0" w:rsidP="00BD0E2D">
      <w:pPr>
        <w:spacing w:after="0" w:line="240" w:lineRule="auto"/>
        <w:rPr>
          <w:rFonts w:ascii="Verdana" w:hAnsi="Verdana"/>
          <w:sz w:val="18"/>
          <w:szCs w:val="18"/>
        </w:rPr>
      </w:pPr>
    </w:p>
    <w:p w14:paraId="4F8026A9" w14:textId="2B20AC41" w:rsidR="000C1FF0" w:rsidRDefault="000C1FF0" w:rsidP="00BD0E2D">
      <w:pPr>
        <w:spacing w:after="0" w:line="240" w:lineRule="auto"/>
        <w:rPr>
          <w:rFonts w:ascii="Verdana" w:hAnsi="Verdana"/>
          <w:sz w:val="18"/>
          <w:szCs w:val="18"/>
        </w:rPr>
      </w:pPr>
    </w:p>
    <w:p w14:paraId="1F7D10FB" w14:textId="1C013F15" w:rsidR="003D63AB" w:rsidRDefault="003D63AB" w:rsidP="00BD0E2D">
      <w:pPr>
        <w:spacing w:after="0" w:line="240" w:lineRule="auto"/>
        <w:rPr>
          <w:rFonts w:ascii="Verdana" w:hAnsi="Verdana"/>
          <w:sz w:val="18"/>
          <w:szCs w:val="18"/>
        </w:rPr>
      </w:pPr>
    </w:p>
    <w:p w14:paraId="76DDD08F" w14:textId="77777777" w:rsidR="003D63AB" w:rsidRPr="00BD0E2D" w:rsidRDefault="003D63AB" w:rsidP="00BD0E2D">
      <w:pPr>
        <w:spacing w:after="0" w:line="240" w:lineRule="auto"/>
        <w:rPr>
          <w:rFonts w:ascii="Verdana" w:hAnsi="Verdana"/>
          <w:sz w:val="18"/>
          <w:szCs w:val="18"/>
        </w:rPr>
      </w:pPr>
    </w:p>
    <w:p w14:paraId="0257FAF0"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 xml:space="preserve">Date: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t xml:space="preserve">Date: </w:t>
      </w:r>
    </w:p>
    <w:p w14:paraId="04427EFD" w14:textId="77777777" w:rsidR="000C1FF0" w:rsidRPr="00BD0E2D" w:rsidRDefault="000C1FF0" w:rsidP="00BD0E2D">
      <w:pPr>
        <w:spacing w:after="0" w:line="240" w:lineRule="auto"/>
        <w:rPr>
          <w:rFonts w:ascii="Verdana" w:hAnsi="Verdana"/>
          <w:sz w:val="18"/>
          <w:szCs w:val="18"/>
        </w:rPr>
      </w:pPr>
    </w:p>
    <w:p w14:paraId="060E736D" w14:textId="77777777" w:rsidR="000C1FF0" w:rsidRPr="00BD0E2D" w:rsidRDefault="000C1FF0" w:rsidP="00BD0E2D">
      <w:pPr>
        <w:spacing w:after="0" w:line="240" w:lineRule="auto"/>
        <w:rPr>
          <w:rFonts w:ascii="Verdana" w:hAnsi="Verdana"/>
          <w:sz w:val="18"/>
          <w:szCs w:val="18"/>
        </w:rPr>
      </w:pPr>
    </w:p>
    <w:p w14:paraId="736ED9F4" w14:textId="77777777" w:rsidR="000C1FF0" w:rsidRPr="00BD0E2D" w:rsidRDefault="000C1FF0" w:rsidP="00BD0E2D">
      <w:pPr>
        <w:spacing w:after="0" w:line="240" w:lineRule="auto"/>
        <w:rPr>
          <w:rFonts w:ascii="Verdana" w:hAnsi="Verdana"/>
          <w:sz w:val="18"/>
          <w:szCs w:val="18"/>
        </w:rPr>
      </w:pPr>
    </w:p>
    <w:p w14:paraId="7EAC4D84" w14:textId="77777777" w:rsidR="000C1FF0" w:rsidRPr="00BD0E2D" w:rsidRDefault="000C1FF0" w:rsidP="00BD0E2D">
      <w:pPr>
        <w:spacing w:after="0" w:line="240" w:lineRule="auto"/>
        <w:rPr>
          <w:rFonts w:ascii="Verdana" w:hAnsi="Verdana"/>
          <w:sz w:val="18"/>
          <w:szCs w:val="18"/>
        </w:rPr>
      </w:pPr>
    </w:p>
    <w:p w14:paraId="3326BF35" w14:textId="77777777" w:rsidR="000C1FF0" w:rsidRPr="00BD0E2D" w:rsidRDefault="000C1FF0" w:rsidP="00BD0E2D">
      <w:pPr>
        <w:spacing w:after="0" w:line="240" w:lineRule="auto"/>
        <w:rPr>
          <w:rFonts w:ascii="Verdana" w:hAnsi="Verdana"/>
          <w:sz w:val="18"/>
          <w:szCs w:val="18"/>
        </w:rPr>
      </w:pPr>
    </w:p>
    <w:p w14:paraId="708230A3" w14:textId="77777777" w:rsidR="000C1FF0" w:rsidRPr="00BD0E2D" w:rsidRDefault="000C1FF0" w:rsidP="00BD0E2D">
      <w:pPr>
        <w:spacing w:after="0" w:line="240" w:lineRule="auto"/>
        <w:rPr>
          <w:rFonts w:ascii="Verdana" w:hAnsi="Verdana"/>
          <w:sz w:val="18"/>
          <w:szCs w:val="18"/>
        </w:rPr>
      </w:pPr>
    </w:p>
    <w:p w14:paraId="2540449E" w14:textId="07A60955" w:rsidR="00B912A6" w:rsidRDefault="00CD00D1">
      <w:pPr>
        <w:spacing w:after="0" w:line="240" w:lineRule="auto"/>
        <w:rPr>
          <w:rFonts w:ascii="Verdana" w:hAnsi="Verdana"/>
          <w:sz w:val="18"/>
          <w:szCs w:val="18"/>
        </w:rPr>
      </w:pPr>
      <w:r>
        <w:br w:type="page"/>
      </w:r>
    </w:p>
    <w:p w14:paraId="2D952E1C" w14:textId="7DAC6594" w:rsidR="000C1FF0" w:rsidRPr="00BD0E2D" w:rsidRDefault="000C1FF0" w:rsidP="00FB60CD">
      <w:pPr>
        <w:pStyle w:val="Kop1"/>
        <w:rPr>
          <w:rFonts w:ascii="Verdana" w:hAnsi="Verdana"/>
          <w:sz w:val="18"/>
          <w:szCs w:val="18"/>
        </w:rPr>
      </w:pPr>
      <w:bookmarkStart w:id="14" w:name="_Toc130480779"/>
      <w:r>
        <w:rPr>
          <w:rFonts w:ascii="Verdana" w:hAnsi="Verdana"/>
          <w:sz w:val="18"/>
          <w:szCs w:val="18"/>
        </w:rPr>
        <w:lastRenderedPageBreak/>
        <w:t xml:space="preserve">Schedule: Model Call-off Contract under the </w:t>
      </w:r>
      <w:r w:rsidR="0059708B">
        <w:rPr>
          <w:rFonts w:ascii="Verdana" w:hAnsi="Verdana"/>
          <w:sz w:val="18"/>
          <w:szCs w:val="18"/>
        </w:rPr>
        <w:t>ARBIT-2022</w:t>
      </w:r>
      <w:r>
        <w:rPr>
          <w:rFonts w:ascii="Verdana" w:hAnsi="Verdana"/>
          <w:sz w:val="18"/>
          <w:szCs w:val="18"/>
        </w:rPr>
        <w:t xml:space="preserve"> Framework Agreement</w:t>
      </w:r>
      <w:bookmarkEnd w:id="14"/>
      <w:r>
        <w:rPr>
          <w:rFonts w:ascii="Verdana" w:hAnsi="Verdana"/>
          <w:sz w:val="18"/>
          <w:szCs w:val="18"/>
        </w:rPr>
        <w:t xml:space="preserve"> </w:t>
      </w:r>
    </w:p>
    <w:p w14:paraId="4F16A384" w14:textId="25CA7D99" w:rsidR="009E0FA6" w:rsidRDefault="000C1FF0" w:rsidP="00BD0E2D">
      <w:pPr>
        <w:spacing w:after="0" w:line="240" w:lineRule="auto"/>
        <w:rPr>
          <w:rFonts w:ascii="Verdana" w:hAnsi="Verdana"/>
          <w:sz w:val="18"/>
          <w:szCs w:val="18"/>
        </w:rPr>
      </w:pPr>
      <w:r>
        <w:rPr>
          <w:rFonts w:ascii="Verdana" w:hAnsi="Verdana"/>
          <w:sz w:val="18"/>
          <w:szCs w:val="18"/>
        </w:rPr>
        <w:t>&lt;insert Model Call-off Contract&gt;</w:t>
      </w:r>
    </w:p>
    <w:p w14:paraId="64412D1F" w14:textId="77777777" w:rsidR="009E0FA6" w:rsidRDefault="009E0FA6">
      <w:pPr>
        <w:spacing w:after="0" w:line="240" w:lineRule="auto"/>
        <w:rPr>
          <w:rFonts w:ascii="Verdana" w:hAnsi="Verdana"/>
          <w:sz w:val="18"/>
          <w:szCs w:val="18"/>
        </w:rPr>
      </w:pPr>
      <w:r>
        <w:br w:type="page"/>
      </w:r>
    </w:p>
    <w:p w14:paraId="336CF699" w14:textId="77777777" w:rsidR="009E0FA6" w:rsidRPr="003133D2" w:rsidRDefault="009E0FA6" w:rsidP="009E0FA6">
      <w:pPr>
        <w:spacing w:after="0" w:line="240" w:lineRule="auto"/>
        <w:rPr>
          <w:rFonts w:ascii="Verdana" w:hAnsi="Verdana"/>
          <w:sz w:val="16"/>
          <w:szCs w:val="16"/>
        </w:rPr>
      </w:pPr>
      <w:r w:rsidRPr="003133D2">
        <w:rPr>
          <w:rFonts w:ascii="Verdana" w:hAnsi="Verdana"/>
          <w:b/>
          <w:sz w:val="18"/>
          <w:szCs w:val="18"/>
        </w:rPr>
        <w:lastRenderedPageBreak/>
        <w:t>Schedule: Data Processing Agreement (if applicable)</w:t>
      </w:r>
    </w:p>
    <w:p w14:paraId="763D1A7B" w14:textId="77777777" w:rsidR="009E0FA6" w:rsidRDefault="009E0FA6" w:rsidP="009E0FA6">
      <w:pPr>
        <w:spacing w:after="0" w:line="240" w:lineRule="auto"/>
        <w:ind w:left="567" w:hanging="567"/>
        <w:rPr>
          <w:rFonts w:ascii="Verdana" w:hAnsi="Verdana"/>
          <w:sz w:val="18"/>
          <w:szCs w:val="18"/>
        </w:rPr>
      </w:pPr>
    </w:p>
    <w:p w14:paraId="212DC4CA" w14:textId="4A7B3C36" w:rsidR="007723F5" w:rsidRDefault="009E0FA6" w:rsidP="009E0FA6">
      <w:pPr>
        <w:spacing w:after="0" w:line="240" w:lineRule="auto"/>
        <w:ind w:left="567" w:hanging="567"/>
        <w:rPr>
          <w:rFonts w:ascii="Verdana" w:hAnsi="Verdana"/>
          <w:sz w:val="18"/>
          <w:szCs w:val="18"/>
        </w:rPr>
      </w:pPr>
      <w:r>
        <w:rPr>
          <w:rFonts w:ascii="Verdana" w:hAnsi="Verdana"/>
          <w:sz w:val="18"/>
          <w:szCs w:val="18"/>
        </w:rPr>
        <w:t>&lt;insert Data Processing Agreement&gt;</w:t>
      </w:r>
    </w:p>
    <w:p w14:paraId="74C1C984" w14:textId="77777777" w:rsidR="007723F5" w:rsidRDefault="007723F5">
      <w:pPr>
        <w:spacing w:after="0" w:line="240" w:lineRule="auto"/>
        <w:rPr>
          <w:rFonts w:ascii="Verdana" w:hAnsi="Verdana"/>
          <w:sz w:val="18"/>
          <w:szCs w:val="18"/>
        </w:rPr>
      </w:pPr>
      <w:r>
        <w:br w:type="page"/>
      </w:r>
    </w:p>
    <w:p w14:paraId="3939BEBB" w14:textId="77777777" w:rsidR="000C1FF0" w:rsidRPr="00BD0E2D" w:rsidRDefault="000C1FF0" w:rsidP="00FB60CD">
      <w:pPr>
        <w:pStyle w:val="Kop1"/>
        <w:rPr>
          <w:rFonts w:ascii="Verdana" w:hAnsi="Verdana"/>
          <w:sz w:val="18"/>
          <w:szCs w:val="18"/>
        </w:rPr>
      </w:pPr>
      <w:bookmarkStart w:id="15" w:name="_Toc130480780"/>
      <w:r>
        <w:rPr>
          <w:rFonts w:ascii="Verdana" w:hAnsi="Verdana"/>
          <w:sz w:val="18"/>
          <w:szCs w:val="18"/>
        </w:rPr>
        <w:lastRenderedPageBreak/>
        <w:t>Schedule: Specifications</w:t>
      </w:r>
      <w:bookmarkEnd w:id="15"/>
    </w:p>
    <w:p w14:paraId="7756DB21"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&lt;insert Specifications&gt;</w:t>
      </w:r>
    </w:p>
    <w:p w14:paraId="5A2180F7" w14:textId="77777777" w:rsidR="00FB60CD" w:rsidRDefault="000C1FF0" w:rsidP="00BD0E2D">
      <w:pPr>
        <w:spacing w:after="0" w:line="240" w:lineRule="auto"/>
        <w:rPr>
          <w:rFonts w:ascii="Verdana" w:hAnsi="Verdana"/>
          <w:sz w:val="18"/>
          <w:szCs w:val="18"/>
        </w:rPr>
      </w:pPr>
      <w:r>
        <w:rPr>
          <w:rFonts w:ascii="Verdana" w:hAnsi="Verdana"/>
          <w:sz w:val="18"/>
          <w:szCs w:val="18"/>
        </w:rPr>
        <w:t xml:space="preserve"> </w:t>
      </w:r>
    </w:p>
    <w:p w14:paraId="525D66DC" w14:textId="77777777" w:rsidR="000C1FF0" w:rsidRPr="00BD0E2D" w:rsidRDefault="00FB60CD" w:rsidP="00BD0E2D">
      <w:pPr>
        <w:spacing w:after="0" w:line="240" w:lineRule="auto"/>
        <w:rPr>
          <w:rFonts w:ascii="Verdana" w:hAnsi="Verdana"/>
          <w:sz w:val="18"/>
          <w:szCs w:val="18"/>
        </w:rPr>
      </w:pPr>
      <w:r>
        <w:br w:type="page"/>
      </w:r>
    </w:p>
    <w:p w14:paraId="643FEBAC" w14:textId="77777777" w:rsidR="000C1FF0" w:rsidRPr="00BD0E2D" w:rsidRDefault="000C1FF0" w:rsidP="00FB60CD">
      <w:pPr>
        <w:pStyle w:val="Kop1"/>
        <w:rPr>
          <w:rFonts w:ascii="Verdana" w:hAnsi="Verdana"/>
          <w:sz w:val="18"/>
          <w:szCs w:val="18"/>
        </w:rPr>
      </w:pPr>
      <w:bookmarkStart w:id="16" w:name="_Toc130480781"/>
      <w:r>
        <w:rPr>
          <w:rFonts w:ascii="Verdana" w:hAnsi="Verdana"/>
          <w:sz w:val="18"/>
          <w:szCs w:val="18"/>
        </w:rPr>
        <w:lastRenderedPageBreak/>
        <w:t>Schedule: Contacts</w:t>
      </w:r>
      <w:bookmarkEnd w:id="16"/>
    </w:p>
    <w:p w14:paraId="034118F4"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Contracting Authority</w:t>
      </w:r>
    </w:p>
    <w:p w14:paraId="7366F898"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The &lt;position&gt;, currently &lt;name&gt;, is authorised to bind the Contracting Authority in so far as the performance of the Framework Agreement is concerned.</w:t>
      </w:r>
    </w:p>
    <w:p w14:paraId="505BC2A6" w14:textId="77777777" w:rsidR="000C1FF0" w:rsidRDefault="000C1FF0" w:rsidP="00BD0E2D">
      <w:pPr>
        <w:spacing w:after="0" w:line="240" w:lineRule="auto"/>
        <w:rPr>
          <w:rFonts w:ascii="Verdana" w:hAnsi="Verdana"/>
          <w:sz w:val="18"/>
          <w:szCs w:val="18"/>
        </w:rPr>
      </w:pPr>
    </w:p>
    <w:p w14:paraId="6B474C91" w14:textId="77777777" w:rsidR="00865421" w:rsidRPr="00BD0E2D" w:rsidRDefault="00865421" w:rsidP="00BD0E2D">
      <w:pPr>
        <w:spacing w:after="0" w:line="240" w:lineRule="auto"/>
        <w:rPr>
          <w:rFonts w:ascii="Verdana" w:hAnsi="Verdana"/>
          <w:sz w:val="18"/>
          <w:szCs w:val="18"/>
        </w:rPr>
      </w:pPr>
      <w:r>
        <w:rPr>
          <w:rFonts w:ascii="Verdana" w:hAnsi="Verdana"/>
          <w:sz w:val="18"/>
          <w:szCs w:val="18"/>
        </w:rPr>
        <w:t>Counterparty</w:t>
      </w:r>
    </w:p>
    <w:p w14:paraId="295156F4" w14:textId="1599FB8F" w:rsidR="000C1FF0" w:rsidRPr="00BD0E2D" w:rsidRDefault="000C1FF0" w:rsidP="00BD0E2D">
      <w:pPr>
        <w:spacing w:after="0" w:line="240" w:lineRule="auto"/>
        <w:rPr>
          <w:rFonts w:ascii="Verdana" w:hAnsi="Verdana"/>
          <w:sz w:val="18"/>
          <w:szCs w:val="18"/>
        </w:rPr>
      </w:pPr>
      <w:r>
        <w:rPr>
          <w:rFonts w:ascii="Verdana" w:hAnsi="Verdana"/>
          <w:sz w:val="18"/>
          <w:szCs w:val="18"/>
        </w:rPr>
        <w:t>The &lt;position&gt;, currently &lt;name&gt;, is authorised to bind the Counterparty in so far as the performance of the Framework Agreement is concerned.</w:t>
      </w:r>
    </w:p>
    <w:p w14:paraId="3081A748" w14:textId="77777777" w:rsidR="000C1FF0" w:rsidRPr="00BD0E2D" w:rsidRDefault="00FB60CD" w:rsidP="00BD0E2D">
      <w:pPr>
        <w:spacing w:after="0" w:line="240" w:lineRule="auto"/>
        <w:rPr>
          <w:rFonts w:ascii="Verdana" w:hAnsi="Verdana"/>
          <w:sz w:val="18"/>
          <w:szCs w:val="18"/>
        </w:rPr>
      </w:pPr>
      <w:r>
        <w:br w:type="page"/>
      </w:r>
    </w:p>
    <w:p w14:paraId="78FB4A6C" w14:textId="77777777" w:rsidR="000C1FF0" w:rsidRPr="00BD0E2D" w:rsidRDefault="000C1FF0" w:rsidP="00FB60CD">
      <w:pPr>
        <w:pStyle w:val="Kop1"/>
        <w:rPr>
          <w:rFonts w:ascii="Verdana" w:hAnsi="Verdana"/>
          <w:sz w:val="18"/>
          <w:szCs w:val="18"/>
        </w:rPr>
      </w:pPr>
      <w:bookmarkStart w:id="17" w:name="_Toc130480782"/>
      <w:r>
        <w:rPr>
          <w:rFonts w:ascii="Verdana" w:hAnsi="Verdana"/>
          <w:sz w:val="18"/>
          <w:szCs w:val="18"/>
        </w:rPr>
        <w:lastRenderedPageBreak/>
        <w:t>Schedule: Terms and Conditions</w:t>
      </w:r>
      <w:bookmarkEnd w:id="17"/>
    </w:p>
    <w:p w14:paraId="5B630632"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 xml:space="preserve">&lt;Insert Terms and Conditions&gt; </w:t>
      </w:r>
    </w:p>
    <w:p w14:paraId="00F19AD6" w14:textId="77777777" w:rsidR="000C1FF0" w:rsidRPr="00BD0E2D" w:rsidRDefault="00FB60CD" w:rsidP="00BD0E2D">
      <w:pPr>
        <w:spacing w:after="0" w:line="240" w:lineRule="auto"/>
        <w:rPr>
          <w:rFonts w:ascii="Verdana" w:hAnsi="Verdana"/>
          <w:sz w:val="18"/>
          <w:szCs w:val="18"/>
        </w:rPr>
      </w:pPr>
      <w:r>
        <w:br w:type="page"/>
      </w:r>
    </w:p>
    <w:p w14:paraId="4FCDC215" w14:textId="77777777" w:rsidR="000C1FF0" w:rsidRPr="00BD0E2D" w:rsidRDefault="000C1FF0" w:rsidP="00FB60CD">
      <w:pPr>
        <w:pStyle w:val="Kop1"/>
        <w:rPr>
          <w:rFonts w:ascii="Verdana" w:hAnsi="Verdana"/>
          <w:sz w:val="18"/>
          <w:szCs w:val="18"/>
        </w:rPr>
      </w:pPr>
      <w:bookmarkStart w:id="18" w:name="_Toc130480783"/>
      <w:r>
        <w:rPr>
          <w:rFonts w:ascii="Verdana" w:hAnsi="Verdana"/>
          <w:sz w:val="18"/>
          <w:szCs w:val="18"/>
        </w:rPr>
        <w:lastRenderedPageBreak/>
        <w:t>Schedule: Financial Agreements File</w:t>
      </w:r>
      <w:bookmarkEnd w:id="18"/>
      <w:r>
        <w:rPr>
          <w:rFonts w:ascii="Verdana" w:hAnsi="Verdana"/>
          <w:sz w:val="18"/>
          <w:szCs w:val="18"/>
        </w:rPr>
        <w:t xml:space="preserve"> </w:t>
      </w:r>
    </w:p>
    <w:p w14:paraId="239B7E44" w14:textId="7E8ED659" w:rsidR="00876FC0" w:rsidRDefault="000C1FF0" w:rsidP="00BD0E2D">
      <w:pPr>
        <w:spacing w:after="0" w:line="240" w:lineRule="auto"/>
        <w:rPr>
          <w:rFonts w:ascii="Verdana" w:hAnsi="Verdana"/>
          <w:sz w:val="18"/>
          <w:szCs w:val="18"/>
        </w:rPr>
      </w:pPr>
      <w:r>
        <w:rPr>
          <w:rFonts w:ascii="Verdana" w:hAnsi="Verdana"/>
          <w:sz w:val="18"/>
          <w:szCs w:val="18"/>
        </w:rPr>
        <w:t>&lt;Insert Financial Agreements File&gt;</w:t>
      </w:r>
    </w:p>
    <w:p w14:paraId="48C20EC4" w14:textId="77777777" w:rsidR="00876FC0" w:rsidRDefault="00876FC0">
      <w:pPr>
        <w:spacing w:after="0" w:line="240" w:lineRule="auto"/>
        <w:rPr>
          <w:rFonts w:ascii="Verdana" w:hAnsi="Verdana"/>
          <w:sz w:val="18"/>
          <w:szCs w:val="18"/>
        </w:rPr>
      </w:pPr>
      <w:r>
        <w:br w:type="page"/>
      </w:r>
    </w:p>
    <w:p w14:paraId="3FC4DE3E" w14:textId="653C505E" w:rsidR="007723F5" w:rsidRDefault="00FE3DE1" w:rsidP="00BD0E2D">
      <w:pPr>
        <w:spacing w:after="0" w:line="240" w:lineRule="auto"/>
        <w:rPr>
          <w:rFonts w:ascii="Verdana" w:hAnsi="Verdana"/>
          <w:b/>
          <w:bCs/>
          <w:sz w:val="18"/>
          <w:szCs w:val="18"/>
        </w:rPr>
      </w:pPr>
      <w:r>
        <w:rPr>
          <w:rFonts w:ascii="Verdana" w:hAnsi="Verdana"/>
          <w:b/>
          <w:bCs/>
          <w:sz w:val="18"/>
          <w:szCs w:val="18"/>
        </w:rPr>
        <w:lastRenderedPageBreak/>
        <w:t>Schedule: Exit Arrangements</w:t>
      </w:r>
    </w:p>
    <w:p w14:paraId="678FC1EB" w14:textId="27C9341C" w:rsidR="0056251A" w:rsidRPr="0056251A" w:rsidRDefault="007723F5" w:rsidP="00BD0E2D">
      <w:pPr>
        <w:spacing w:after="0" w:line="240" w:lineRule="auto"/>
        <w:rPr>
          <w:rFonts w:ascii="Verdana" w:hAnsi="Verdana"/>
          <w:b/>
          <w:bCs/>
          <w:sz w:val="18"/>
          <w:szCs w:val="18"/>
        </w:rPr>
      </w:pPr>
      <w:r>
        <w:br w:type="page"/>
      </w:r>
    </w:p>
    <w:p w14:paraId="3EC6BE57" w14:textId="63463F64" w:rsidR="0056251A" w:rsidRPr="0056251A" w:rsidRDefault="0056251A" w:rsidP="0056251A">
      <w:pPr>
        <w:spacing w:after="0" w:line="240" w:lineRule="auto"/>
        <w:rPr>
          <w:rFonts w:ascii="Verdana" w:hAnsi="Verdana"/>
          <w:b/>
          <w:bCs/>
          <w:sz w:val="18"/>
          <w:szCs w:val="18"/>
        </w:rPr>
      </w:pPr>
      <w:r>
        <w:rPr>
          <w:rFonts w:ascii="Verdana" w:hAnsi="Verdana"/>
          <w:b/>
          <w:bCs/>
          <w:sz w:val="18"/>
          <w:szCs w:val="18"/>
        </w:rPr>
        <w:lastRenderedPageBreak/>
        <w:t xml:space="preserve">Schedule: Artificial Intelligence (AI) </w:t>
      </w:r>
    </w:p>
    <w:p w14:paraId="365A3C44" w14:textId="77777777" w:rsidR="0056251A" w:rsidRPr="00BD0E2D" w:rsidRDefault="0056251A" w:rsidP="00BD0E2D">
      <w:pPr>
        <w:spacing w:after="0" w:line="240" w:lineRule="auto"/>
        <w:rPr>
          <w:rFonts w:ascii="Verdana" w:hAnsi="Verdana"/>
          <w:sz w:val="18"/>
          <w:szCs w:val="18"/>
        </w:rPr>
      </w:pPr>
    </w:p>
    <w:p w14:paraId="1F47C575" w14:textId="77777777" w:rsidR="000C1FF0" w:rsidRPr="00BD0E2D" w:rsidRDefault="000C1FF0" w:rsidP="00BD0E2D">
      <w:pPr>
        <w:spacing w:after="0" w:line="240" w:lineRule="auto"/>
        <w:rPr>
          <w:rFonts w:ascii="Verdana" w:hAnsi="Verdana"/>
          <w:sz w:val="18"/>
          <w:szCs w:val="18"/>
        </w:rPr>
      </w:pPr>
      <w:r>
        <w:rPr>
          <w:rFonts w:ascii="Verdana" w:hAnsi="Verdana"/>
          <w:sz w:val="18"/>
          <w:szCs w:val="18"/>
        </w:rPr>
        <w:t xml:space="preserve"> </w:t>
      </w:r>
    </w:p>
    <w:sectPr w:rsidR="000C1FF0" w:rsidRPr="00BD0E2D" w:rsidSect="00A17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3EF7" w14:textId="77777777" w:rsidR="000E4E53" w:rsidRDefault="000E4E53" w:rsidP="00BD0E2D">
      <w:pPr>
        <w:spacing w:after="0" w:line="240" w:lineRule="auto"/>
      </w:pPr>
      <w:r>
        <w:separator/>
      </w:r>
    </w:p>
  </w:endnote>
  <w:endnote w:type="continuationSeparator" w:id="0">
    <w:p w14:paraId="71C859C3" w14:textId="77777777" w:rsidR="000E4E53" w:rsidRDefault="000E4E53" w:rsidP="00BD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9CF2" w14:textId="782B6DFC" w:rsidR="009749FD" w:rsidRDefault="009749FD" w:rsidP="00BD0E2D">
    <w:pPr>
      <w:pStyle w:val="Voettekst"/>
      <w:rPr>
        <w:rFonts w:ascii="Verdana" w:hAnsi="Verdana"/>
        <w:sz w:val="16"/>
        <w:szCs w:val="16"/>
      </w:rPr>
    </w:pPr>
  </w:p>
  <w:p w14:paraId="3288B8FF" w14:textId="2795A820" w:rsidR="00BD0E2D" w:rsidRPr="00BD0E2D" w:rsidRDefault="00CB03B2" w:rsidP="00BD0E2D">
    <w:pPr>
      <w:pStyle w:val="Voettekst"/>
      <w:rPr>
        <w:rFonts w:ascii="Verdana" w:hAnsi="Verdana"/>
        <w:sz w:val="16"/>
        <w:szCs w:val="16"/>
      </w:rPr>
    </w:pPr>
    <w:r w:rsidRPr="009749FD">
      <w:rPr>
        <w:rFonts w:ascii="Verdana" w:hAnsi="Verdana"/>
        <w:sz w:val="16"/>
        <w:szCs w:val="16"/>
      </w:rPr>
      <w:t>AVT/BZ-230111-005</w:t>
    </w:r>
    <w:r w:rsidR="009749FD" w:rsidRPr="009749FD">
      <w:rPr>
        <w:rFonts w:ascii="Verdana" w:hAnsi="Verdana"/>
        <w:sz w:val="16"/>
        <w:szCs w:val="16"/>
      </w:rPr>
      <w:t xml:space="preserve"> </w:t>
    </w:r>
    <w:r w:rsidR="00697221">
      <w:rPr>
        <w:rFonts w:ascii="Verdana" w:hAnsi="Verdana"/>
        <w:sz w:val="16"/>
        <w:szCs w:val="16"/>
      </w:rPr>
      <w:t xml:space="preserve">ARBIT-2022 </w:t>
    </w:r>
    <w:r w:rsidR="009749FD" w:rsidRPr="009749FD">
      <w:rPr>
        <w:rFonts w:ascii="Verdana" w:hAnsi="Verdana"/>
        <w:sz w:val="16"/>
        <w:szCs w:val="16"/>
      </w:rPr>
      <w:t xml:space="preserve">Model </w:t>
    </w:r>
    <w:proofErr w:type="spellStart"/>
    <w:r w:rsidR="009749FD" w:rsidRPr="009749FD">
      <w:rPr>
        <w:rFonts w:ascii="Verdana" w:hAnsi="Verdana"/>
        <w:sz w:val="16"/>
        <w:szCs w:val="16"/>
      </w:rPr>
      <w:t>Raamovereenkomst</w:t>
    </w:r>
    <w:proofErr w:type="spellEnd"/>
    <w:r>
      <w:tab/>
    </w:r>
    <w:r>
      <w:tab/>
    </w:r>
    <w:r w:rsidR="00BD0E2D" w:rsidRPr="00BD0E2D">
      <w:rPr>
        <w:rFonts w:ascii="Verdana" w:hAnsi="Verdana"/>
        <w:sz w:val="16"/>
        <w:szCs w:val="16"/>
      </w:rPr>
      <w:fldChar w:fldCharType="begin"/>
    </w:r>
    <w:r w:rsidR="00BD0E2D" w:rsidRPr="00BD0E2D">
      <w:rPr>
        <w:rFonts w:ascii="Verdana" w:hAnsi="Verdana"/>
        <w:sz w:val="16"/>
        <w:szCs w:val="16"/>
      </w:rPr>
      <w:instrText xml:space="preserve"> PAGE   \* MERGEFORMAT </w:instrText>
    </w:r>
    <w:r w:rsidR="00BD0E2D" w:rsidRPr="00BD0E2D">
      <w:rPr>
        <w:rFonts w:ascii="Verdana" w:hAnsi="Verdana"/>
        <w:sz w:val="16"/>
        <w:szCs w:val="16"/>
      </w:rPr>
      <w:fldChar w:fldCharType="separate"/>
    </w:r>
    <w:r w:rsidR="002A79CB">
      <w:rPr>
        <w:rFonts w:ascii="Verdana" w:hAnsi="Verdana"/>
        <w:sz w:val="16"/>
        <w:szCs w:val="16"/>
      </w:rPr>
      <w:t>4</w:t>
    </w:r>
    <w:r w:rsidR="00BD0E2D" w:rsidRPr="00BD0E2D">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B130" w14:textId="77777777" w:rsidR="000E4E53" w:rsidRDefault="000E4E53" w:rsidP="00BD0E2D">
      <w:pPr>
        <w:spacing w:after="0" w:line="240" w:lineRule="auto"/>
      </w:pPr>
      <w:r>
        <w:separator/>
      </w:r>
    </w:p>
  </w:footnote>
  <w:footnote w:type="continuationSeparator" w:id="0">
    <w:p w14:paraId="18C0FA92" w14:textId="77777777" w:rsidR="000E4E53" w:rsidRDefault="000E4E53" w:rsidP="00BD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D45E4"/>
    <w:multiLevelType w:val="multilevel"/>
    <w:tmpl w:val="E598B9A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DD81238"/>
    <w:multiLevelType w:val="hybridMultilevel"/>
    <w:tmpl w:val="1C80AB0E"/>
    <w:lvl w:ilvl="0" w:tplc="9008F008">
      <w:start w:val="4"/>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2499839">
    <w:abstractNumId w:val="1"/>
  </w:num>
  <w:num w:numId="2" w16cid:durableId="74626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0"/>
    <w:rsid w:val="00001EBE"/>
    <w:rsid w:val="00022A55"/>
    <w:rsid w:val="00075AE0"/>
    <w:rsid w:val="000A0F44"/>
    <w:rsid w:val="000A6A2E"/>
    <w:rsid w:val="000C1FF0"/>
    <w:rsid w:val="000D29EB"/>
    <w:rsid w:val="000E4E53"/>
    <w:rsid w:val="00152E5A"/>
    <w:rsid w:val="001612E3"/>
    <w:rsid w:val="001B1DDB"/>
    <w:rsid w:val="001B29BA"/>
    <w:rsid w:val="001B310B"/>
    <w:rsid w:val="001C75CE"/>
    <w:rsid w:val="001E68CA"/>
    <w:rsid w:val="00222988"/>
    <w:rsid w:val="00225231"/>
    <w:rsid w:val="0022731B"/>
    <w:rsid w:val="0024108F"/>
    <w:rsid w:val="00243233"/>
    <w:rsid w:val="00277EE8"/>
    <w:rsid w:val="002A79CB"/>
    <w:rsid w:val="002C1DA0"/>
    <w:rsid w:val="002C7068"/>
    <w:rsid w:val="002C77D3"/>
    <w:rsid w:val="003133D2"/>
    <w:rsid w:val="0032248B"/>
    <w:rsid w:val="00334BD7"/>
    <w:rsid w:val="003A132A"/>
    <w:rsid w:val="003B563A"/>
    <w:rsid w:val="003B75A4"/>
    <w:rsid w:val="003D63AB"/>
    <w:rsid w:val="003D7C9C"/>
    <w:rsid w:val="00403359"/>
    <w:rsid w:val="004147D0"/>
    <w:rsid w:val="004721EE"/>
    <w:rsid w:val="004A1978"/>
    <w:rsid w:val="004C4FEE"/>
    <w:rsid w:val="004C6F02"/>
    <w:rsid w:val="004D45FA"/>
    <w:rsid w:val="004D7515"/>
    <w:rsid w:val="004F4390"/>
    <w:rsid w:val="00540BF0"/>
    <w:rsid w:val="0056251A"/>
    <w:rsid w:val="00583986"/>
    <w:rsid w:val="00587404"/>
    <w:rsid w:val="00587F9F"/>
    <w:rsid w:val="0059708B"/>
    <w:rsid w:val="005A031D"/>
    <w:rsid w:val="0063246C"/>
    <w:rsid w:val="00643C72"/>
    <w:rsid w:val="00647137"/>
    <w:rsid w:val="00675FAE"/>
    <w:rsid w:val="00697221"/>
    <w:rsid w:val="006A68B6"/>
    <w:rsid w:val="006C4A7A"/>
    <w:rsid w:val="007152F4"/>
    <w:rsid w:val="00731538"/>
    <w:rsid w:val="00760B24"/>
    <w:rsid w:val="00765F7E"/>
    <w:rsid w:val="007723F5"/>
    <w:rsid w:val="007862D9"/>
    <w:rsid w:val="007A0DE1"/>
    <w:rsid w:val="007E7527"/>
    <w:rsid w:val="00832A9B"/>
    <w:rsid w:val="00851952"/>
    <w:rsid w:val="00865421"/>
    <w:rsid w:val="00876FC0"/>
    <w:rsid w:val="008952F0"/>
    <w:rsid w:val="008B2282"/>
    <w:rsid w:val="008D09FB"/>
    <w:rsid w:val="008D30FC"/>
    <w:rsid w:val="008E7822"/>
    <w:rsid w:val="00917A9B"/>
    <w:rsid w:val="009549AE"/>
    <w:rsid w:val="009749FD"/>
    <w:rsid w:val="00980A0A"/>
    <w:rsid w:val="00993037"/>
    <w:rsid w:val="009D4180"/>
    <w:rsid w:val="009E0FA6"/>
    <w:rsid w:val="009F002F"/>
    <w:rsid w:val="00A13088"/>
    <w:rsid w:val="00A17C6E"/>
    <w:rsid w:val="00A44C38"/>
    <w:rsid w:val="00A93D3A"/>
    <w:rsid w:val="00AA2590"/>
    <w:rsid w:val="00AC23A5"/>
    <w:rsid w:val="00AD6E8D"/>
    <w:rsid w:val="00B063FB"/>
    <w:rsid w:val="00B126C1"/>
    <w:rsid w:val="00B21214"/>
    <w:rsid w:val="00B26D3A"/>
    <w:rsid w:val="00B51FC2"/>
    <w:rsid w:val="00B83934"/>
    <w:rsid w:val="00B912A6"/>
    <w:rsid w:val="00B9192C"/>
    <w:rsid w:val="00B94F4A"/>
    <w:rsid w:val="00BD0E2D"/>
    <w:rsid w:val="00C07802"/>
    <w:rsid w:val="00C1065D"/>
    <w:rsid w:val="00C143D6"/>
    <w:rsid w:val="00C673FB"/>
    <w:rsid w:val="00CA4EAC"/>
    <w:rsid w:val="00CB03B2"/>
    <w:rsid w:val="00CD00D1"/>
    <w:rsid w:val="00D05CAC"/>
    <w:rsid w:val="00D46102"/>
    <w:rsid w:val="00D477D7"/>
    <w:rsid w:val="00D60900"/>
    <w:rsid w:val="00DC19F8"/>
    <w:rsid w:val="00DF4229"/>
    <w:rsid w:val="00E17F81"/>
    <w:rsid w:val="00E54FE8"/>
    <w:rsid w:val="00E777AF"/>
    <w:rsid w:val="00E93F8C"/>
    <w:rsid w:val="00EE47C1"/>
    <w:rsid w:val="00EF691B"/>
    <w:rsid w:val="00F009FD"/>
    <w:rsid w:val="00F154D9"/>
    <w:rsid w:val="00F22CDC"/>
    <w:rsid w:val="00F3770B"/>
    <w:rsid w:val="00F63C99"/>
    <w:rsid w:val="00F71812"/>
    <w:rsid w:val="00F72B9B"/>
    <w:rsid w:val="00FB60CD"/>
    <w:rsid w:val="00FB612B"/>
    <w:rsid w:val="00FE3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39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BD0E2D"/>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0E2D"/>
    <w:pPr>
      <w:tabs>
        <w:tab w:val="center" w:pos="4680"/>
        <w:tab w:val="right" w:pos="9360"/>
      </w:tabs>
    </w:pPr>
  </w:style>
  <w:style w:type="character" w:customStyle="1" w:styleId="KoptekstChar">
    <w:name w:val="Koptekst Char"/>
    <w:link w:val="Koptekst"/>
    <w:uiPriority w:val="99"/>
    <w:rsid w:val="00BD0E2D"/>
    <w:rPr>
      <w:sz w:val="22"/>
      <w:szCs w:val="22"/>
      <w:lang w:val="en-GB"/>
    </w:rPr>
  </w:style>
  <w:style w:type="paragraph" w:styleId="Voettekst">
    <w:name w:val="footer"/>
    <w:basedOn w:val="Standaard"/>
    <w:link w:val="VoettekstChar"/>
    <w:uiPriority w:val="99"/>
    <w:unhideWhenUsed/>
    <w:rsid w:val="00BD0E2D"/>
    <w:pPr>
      <w:tabs>
        <w:tab w:val="center" w:pos="4680"/>
        <w:tab w:val="right" w:pos="9360"/>
      </w:tabs>
    </w:pPr>
  </w:style>
  <w:style w:type="character" w:customStyle="1" w:styleId="VoettekstChar">
    <w:name w:val="Voettekst Char"/>
    <w:link w:val="Voettekst"/>
    <w:uiPriority w:val="99"/>
    <w:rsid w:val="00BD0E2D"/>
    <w:rPr>
      <w:sz w:val="22"/>
      <w:szCs w:val="22"/>
      <w:lang w:val="en-GB"/>
    </w:rPr>
  </w:style>
  <w:style w:type="character" w:customStyle="1" w:styleId="Kop1Char">
    <w:name w:val="Kop 1 Char"/>
    <w:link w:val="Kop1"/>
    <w:uiPriority w:val="9"/>
    <w:rsid w:val="00BD0E2D"/>
    <w:rPr>
      <w:rFonts w:ascii="Cambria" w:eastAsia="Times New Roman" w:hAnsi="Cambria" w:cs="Times New Roman"/>
      <w:b/>
      <w:bCs/>
      <w:kern w:val="32"/>
      <w:sz w:val="32"/>
      <w:szCs w:val="32"/>
      <w:lang w:val="en-GB"/>
    </w:rPr>
  </w:style>
  <w:style w:type="paragraph" w:styleId="Kopvaninhoudsopgave">
    <w:name w:val="TOC Heading"/>
    <w:basedOn w:val="Kop1"/>
    <w:next w:val="Standaard"/>
    <w:uiPriority w:val="39"/>
    <w:unhideWhenUsed/>
    <w:qFormat/>
    <w:rsid w:val="00FB60CD"/>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FB60CD"/>
  </w:style>
  <w:style w:type="character" w:styleId="Hyperlink">
    <w:name w:val="Hyperlink"/>
    <w:uiPriority w:val="99"/>
    <w:unhideWhenUsed/>
    <w:rsid w:val="00FB60CD"/>
    <w:rPr>
      <w:color w:val="0000FF"/>
      <w:u w:val="single"/>
    </w:rPr>
  </w:style>
  <w:style w:type="paragraph" w:styleId="Ballontekst">
    <w:name w:val="Balloon Text"/>
    <w:basedOn w:val="Standaard"/>
    <w:link w:val="BallontekstChar"/>
    <w:uiPriority w:val="99"/>
    <w:semiHidden/>
    <w:unhideWhenUsed/>
    <w:rsid w:val="0032248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2248B"/>
    <w:rPr>
      <w:rFonts w:ascii="Tahoma" w:hAnsi="Tahoma" w:cs="Tahoma"/>
      <w:sz w:val="16"/>
      <w:szCs w:val="16"/>
      <w:lang w:eastAsia="en-US"/>
    </w:rPr>
  </w:style>
  <w:style w:type="character" w:styleId="Verwijzingopmerking">
    <w:name w:val="annotation reference"/>
    <w:uiPriority w:val="99"/>
    <w:semiHidden/>
    <w:unhideWhenUsed/>
    <w:rsid w:val="00FB612B"/>
    <w:rPr>
      <w:sz w:val="16"/>
      <w:szCs w:val="16"/>
    </w:rPr>
  </w:style>
  <w:style w:type="paragraph" w:styleId="Tekstopmerking">
    <w:name w:val="annotation text"/>
    <w:basedOn w:val="Standaard"/>
    <w:link w:val="TekstopmerkingChar"/>
    <w:uiPriority w:val="99"/>
    <w:semiHidden/>
    <w:unhideWhenUsed/>
    <w:rsid w:val="00FB612B"/>
    <w:rPr>
      <w:sz w:val="20"/>
      <w:szCs w:val="20"/>
    </w:rPr>
  </w:style>
  <w:style w:type="character" w:customStyle="1" w:styleId="TekstopmerkingChar">
    <w:name w:val="Tekst opmerking Char"/>
    <w:link w:val="Tekstopmerking"/>
    <w:uiPriority w:val="99"/>
    <w:semiHidden/>
    <w:rsid w:val="00FB612B"/>
    <w:rPr>
      <w:lang w:eastAsia="en-US"/>
    </w:rPr>
  </w:style>
  <w:style w:type="paragraph" w:styleId="Onderwerpvanopmerking">
    <w:name w:val="annotation subject"/>
    <w:basedOn w:val="Tekstopmerking"/>
    <w:next w:val="Tekstopmerking"/>
    <w:link w:val="OnderwerpvanopmerkingChar"/>
    <w:uiPriority w:val="99"/>
    <w:semiHidden/>
    <w:unhideWhenUsed/>
    <w:rsid w:val="00FB612B"/>
    <w:rPr>
      <w:b/>
      <w:bCs/>
    </w:rPr>
  </w:style>
  <w:style w:type="character" w:customStyle="1" w:styleId="OnderwerpvanopmerkingChar">
    <w:name w:val="Onderwerp van opmerking Char"/>
    <w:link w:val="Onderwerpvanopmerking"/>
    <w:uiPriority w:val="99"/>
    <w:semiHidden/>
    <w:rsid w:val="00FB612B"/>
    <w:rPr>
      <w:b/>
      <w:bCs/>
      <w:lang w:eastAsia="en-US"/>
    </w:rPr>
  </w:style>
  <w:style w:type="paragraph" w:styleId="Revisie">
    <w:name w:val="Revision"/>
    <w:hidden/>
    <w:uiPriority w:val="99"/>
    <w:semiHidden/>
    <w:rsid w:val="00FB612B"/>
    <w:rPr>
      <w:sz w:val="22"/>
      <w:szCs w:val="22"/>
      <w:lang w:eastAsia="en-US"/>
    </w:rPr>
  </w:style>
  <w:style w:type="paragraph" w:styleId="Lijstalinea">
    <w:name w:val="List Paragraph"/>
    <w:basedOn w:val="Standaard"/>
    <w:uiPriority w:val="34"/>
    <w:qFormat/>
    <w:rsid w:val="00587F9F"/>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5ED48-22B4-457C-931F-A248FA88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2277</Words>
  <Characters>12524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14772</CharactersWithSpaces>
  <SharedDoc>false</SharedDoc>
  <HLinks>
    <vt:vector size="90" baseType="variant">
      <vt:variant>
        <vt:i4>1114169</vt:i4>
      </vt:variant>
      <vt:variant>
        <vt:i4>86</vt:i4>
      </vt:variant>
      <vt:variant>
        <vt:i4>0</vt:i4>
      </vt:variant>
      <vt:variant>
        <vt:i4>5</vt:i4>
      </vt:variant>
      <vt:variant>
        <vt:lpwstr/>
      </vt:variant>
      <vt:variant>
        <vt:lpwstr>_Toc397950866</vt:lpwstr>
      </vt:variant>
      <vt:variant>
        <vt:i4>1114169</vt:i4>
      </vt:variant>
      <vt:variant>
        <vt:i4>80</vt:i4>
      </vt:variant>
      <vt:variant>
        <vt:i4>0</vt:i4>
      </vt:variant>
      <vt:variant>
        <vt:i4>5</vt:i4>
      </vt:variant>
      <vt:variant>
        <vt:lpwstr/>
      </vt:variant>
      <vt:variant>
        <vt:lpwstr>_Toc397950865</vt:lpwstr>
      </vt:variant>
      <vt:variant>
        <vt:i4>1114169</vt:i4>
      </vt:variant>
      <vt:variant>
        <vt:i4>74</vt:i4>
      </vt:variant>
      <vt:variant>
        <vt:i4>0</vt:i4>
      </vt:variant>
      <vt:variant>
        <vt:i4>5</vt:i4>
      </vt:variant>
      <vt:variant>
        <vt:lpwstr/>
      </vt:variant>
      <vt:variant>
        <vt:lpwstr>_Toc397950864</vt:lpwstr>
      </vt:variant>
      <vt:variant>
        <vt:i4>1114169</vt:i4>
      </vt:variant>
      <vt:variant>
        <vt:i4>68</vt:i4>
      </vt:variant>
      <vt:variant>
        <vt:i4>0</vt:i4>
      </vt:variant>
      <vt:variant>
        <vt:i4>5</vt:i4>
      </vt:variant>
      <vt:variant>
        <vt:lpwstr/>
      </vt:variant>
      <vt:variant>
        <vt:lpwstr>_Toc397950863</vt:lpwstr>
      </vt:variant>
      <vt:variant>
        <vt:i4>1114169</vt:i4>
      </vt:variant>
      <vt:variant>
        <vt:i4>62</vt:i4>
      </vt:variant>
      <vt:variant>
        <vt:i4>0</vt:i4>
      </vt:variant>
      <vt:variant>
        <vt:i4>5</vt:i4>
      </vt:variant>
      <vt:variant>
        <vt:lpwstr/>
      </vt:variant>
      <vt:variant>
        <vt:lpwstr>_Toc397950862</vt:lpwstr>
      </vt:variant>
      <vt:variant>
        <vt:i4>1114169</vt:i4>
      </vt:variant>
      <vt:variant>
        <vt:i4>56</vt:i4>
      </vt:variant>
      <vt:variant>
        <vt:i4>0</vt:i4>
      </vt:variant>
      <vt:variant>
        <vt:i4>5</vt:i4>
      </vt:variant>
      <vt:variant>
        <vt:lpwstr/>
      </vt:variant>
      <vt:variant>
        <vt:lpwstr>_Toc397950861</vt:lpwstr>
      </vt:variant>
      <vt:variant>
        <vt:i4>1114169</vt:i4>
      </vt:variant>
      <vt:variant>
        <vt:i4>50</vt:i4>
      </vt:variant>
      <vt:variant>
        <vt:i4>0</vt:i4>
      </vt:variant>
      <vt:variant>
        <vt:i4>5</vt:i4>
      </vt:variant>
      <vt:variant>
        <vt:lpwstr/>
      </vt:variant>
      <vt:variant>
        <vt:lpwstr>_Toc397950860</vt:lpwstr>
      </vt:variant>
      <vt:variant>
        <vt:i4>1179705</vt:i4>
      </vt:variant>
      <vt:variant>
        <vt:i4>44</vt:i4>
      </vt:variant>
      <vt:variant>
        <vt:i4>0</vt:i4>
      </vt:variant>
      <vt:variant>
        <vt:i4>5</vt:i4>
      </vt:variant>
      <vt:variant>
        <vt:lpwstr/>
      </vt:variant>
      <vt:variant>
        <vt:lpwstr>_Toc397950859</vt:lpwstr>
      </vt:variant>
      <vt:variant>
        <vt:i4>1179705</vt:i4>
      </vt:variant>
      <vt:variant>
        <vt:i4>38</vt:i4>
      </vt:variant>
      <vt:variant>
        <vt:i4>0</vt:i4>
      </vt:variant>
      <vt:variant>
        <vt:i4>5</vt:i4>
      </vt:variant>
      <vt:variant>
        <vt:lpwstr/>
      </vt:variant>
      <vt:variant>
        <vt:lpwstr>_Toc397950858</vt:lpwstr>
      </vt:variant>
      <vt:variant>
        <vt:i4>1179705</vt:i4>
      </vt:variant>
      <vt:variant>
        <vt:i4>32</vt:i4>
      </vt:variant>
      <vt:variant>
        <vt:i4>0</vt:i4>
      </vt:variant>
      <vt:variant>
        <vt:i4>5</vt:i4>
      </vt:variant>
      <vt:variant>
        <vt:lpwstr/>
      </vt:variant>
      <vt:variant>
        <vt:lpwstr>_Toc397950857</vt:lpwstr>
      </vt:variant>
      <vt:variant>
        <vt:i4>1179705</vt:i4>
      </vt:variant>
      <vt:variant>
        <vt:i4>26</vt:i4>
      </vt:variant>
      <vt:variant>
        <vt:i4>0</vt:i4>
      </vt:variant>
      <vt:variant>
        <vt:i4>5</vt:i4>
      </vt:variant>
      <vt:variant>
        <vt:lpwstr/>
      </vt:variant>
      <vt:variant>
        <vt:lpwstr>_Toc397950856</vt:lpwstr>
      </vt:variant>
      <vt:variant>
        <vt:i4>1179705</vt:i4>
      </vt:variant>
      <vt:variant>
        <vt:i4>20</vt:i4>
      </vt:variant>
      <vt:variant>
        <vt:i4>0</vt:i4>
      </vt:variant>
      <vt:variant>
        <vt:i4>5</vt:i4>
      </vt:variant>
      <vt:variant>
        <vt:lpwstr/>
      </vt:variant>
      <vt:variant>
        <vt:lpwstr>_Toc397950855</vt:lpwstr>
      </vt:variant>
      <vt:variant>
        <vt:i4>1179705</vt:i4>
      </vt:variant>
      <vt:variant>
        <vt:i4>14</vt:i4>
      </vt:variant>
      <vt:variant>
        <vt:i4>0</vt:i4>
      </vt:variant>
      <vt:variant>
        <vt:i4>5</vt:i4>
      </vt:variant>
      <vt:variant>
        <vt:lpwstr/>
      </vt:variant>
      <vt:variant>
        <vt:lpwstr>_Toc397950854</vt:lpwstr>
      </vt:variant>
      <vt:variant>
        <vt:i4>1179705</vt:i4>
      </vt:variant>
      <vt:variant>
        <vt:i4>8</vt:i4>
      </vt:variant>
      <vt:variant>
        <vt:i4>0</vt:i4>
      </vt:variant>
      <vt:variant>
        <vt:i4>5</vt:i4>
      </vt:variant>
      <vt:variant>
        <vt:lpwstr/>
      </vt:variant>
      <vt:variant>
        <vt:lpwstr>_Toc397950853</vt:lpwstr>
      </vt:variant>
      <vt:variant>
        <vt:i4>1179705</vt:i4>
      </vt:variant>
      <vt:variant>
        <vt:i4>2</vt:i4>
      </vt:variant>
      <vt:variant>
        <vt:i4>0</vt:i4>
      </vt:variant>
      <vt:variant>
        <vt:i4>5</vt:i4>
      </vt:variant>
      <vt:variant>
        <vt:lpwstr/>
      </vt:variant>
      <vt:variant>
        <vt:lpwstr>_Toc397950852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2023-08-04T12:02:00Z</dcterms:created>
  <dcterms:modified xsi:type="dcterms:W3CDTF">2023-08-04T12:02:00Z</dcterms:modified>
</cp:coreProperties>
</file>